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C33C" w14:textId="77777777" w:rsidR="00886C42" w:rsidRDefault="006017FB" w:rsidP="00886C42">
      <w:pPr>
        <w:spacing w:after="120" w:line="240" w:lineRule="auto"/>
        <w:jc w:val="center"/>
        <w:rPr>
          <w:rFonts w:ascii="Arial Black" w:hAnsi="Arial Black" w:cs="Arial"/>
          <w:b/>
          <w:color w:val="5F497A" w:themeColor="accent4" w:themeShade="BF"/>
          <w:sz w:val="24"/>
          <w:szCs w:val="24"/>
        </w:rPr>
      </w:pPr>
      <w:r w:rsidRPr="00395B93">
        <w:rPr>
          <w:rFonts w:ascii="Arial Black" w:hAnsi="Arial Black" w:cs="Arial"/>
          <w:b/>
          <w:color w:val="5F497A" w:themeColor="accent4" w:themeShade="BF"/>
          <w:sz w:val="24"/>
          <w:szCs w:val="24"/>
        </w:rPr>
        <w:t>Barnet Education Strategy 201</w:t>
      </w:r>
      <w:r w:rsidR="008921CE" w:rsidRPr="00395B93">
        <w:rPr>
          <w:rFonts w:ascii="Arial Black" w:hAnsi="Arial Black" w:cs="Arial"/>
          <w:b/>
          <w:color w:val="5F497A" w:themeColor="accent4" w:themeShade="BF"/>
          <w:sz w:val="24"/>
          <w:szCs w:val="24"/>
        </w:rPr>
        <w:t xml:space="preserve">7 to </w:t>
      </w:r>
      <w:r w:rsidRPr="00395B93">
        <w:rPr>
          <w:rFonts w:ascii="Arial Black" w:hAnsi="Arial Black" w:cs="Arial"/>
          <w:b/>
          <w:color w:val="5F497A" w:themeColor="accent4" w:themeShade="BF"/>
          <w:sz w:val="24"/>
          <w:szCs w:val="24"/>
        </w:rPr>
        <w:t>20</w:t>
      </w:r>
      <w:r w:rsidR="008921CE" w:rsidRPr="00395B93">
        <w:rPr>
          <w:rFonts w:ascii="Arial Black" w:hAnsi="Arial Black" w:cs="Arial"/>
          <w:b/>
          <w:color w:val="5F497A" w:themeColor="accent4" w:themeShade="BF"/>
          <w:sz w:val="24"/>
          <w:szCs w:val="24"/>
        </w:rPr>
        <w:t>20</w:t>
      </w:r>
      <w:r w:rsidR="009462AA">
        <w:rPr>
          <w:rFonts w:ascii="Arial Black" w:hAnsi="Arial Black" w:cs="Arial"/>
          <w:b/>
          <w:color w:val="5F497A" w:themeColor="accent4" w:themeShade="BF"/>
          <w:sz w:val="24"/>
          <w:szCs w:val="24"/>
        </w:rPr>
        <w:t xml:space="preserve"> </w:t>
      </w:r>
    </w:p>
    <w:p w14:paraId="0B9C9610" w14:textId="77777777" w:rsidR="00C37A6C" w:rsidRPr="00395B93" w:rsidRDefault="009462AA" w:rsidP="00A14996">
      <w:pPr>
        <w:spacing w:after="240" w:line="240" w:lineRule="auto"/>
        <w:jc w:val="center"/>
        <w:rPr>
          <w:rFonts w:ascii="Arial Black" w:hAnsi="Arial Black" w:cs="Arial"/>
          <w:b/>
          <w:color w:val="5F497A" w:themeColor="accent4" w:themeShade="BF"/>
          <w:sz w:val="24"/>
          <w:szCs w:val="24"/>
        </w:rPr>
      </w:pPr>
      <w:r>
        <w:rPr>
          <w:rFonts w:ascii="Arial Black" w:hAnsi="Arial Black" w:cs="Arial"/>
          <w:b/>
          <w:color w:val="5F497A" w:themeColor="accent4" w:themeShade="BF"/>
          <w:sz w:val="24"/>
          <w:szCs w:val="24"/>
        </w:rPr>
        <w:t>(</w:t>
      </w:r>
      <w:r w:rsidR="00886C42">
        <w:rPr>
          <w:rFonts w:ascii="Arial Black" w:hAnsi="Arial Black" w:cs="Arial"/>
          <w:b/>
          <w:color w:val="5F497A" w:themeColor="accent4" w:themeShade="BF"/>
          <w:sz w:val="24"/>
          <w:szCs w:val="24"/>
        </w:rPr>
        <w:t xml:space="preserve">appendices </w:t>
      </w:r>
      <w:r w:rsidR="00DF0BAF">
        <w:rPr>
          <w:rFonts w:ascii="Arial Black" w:hAnsi="Arial Black" w:cs="Arial"/>
          <w:b/>
          <w:color w:val="5F497A" w:themeColor="accent4" w:themeShade="BF"/>
          <w:sz w:val="24"/>
          <w:szCs w:val="24"/>
        </w:rPr>
        <w:t xml:space="preserve">updated </w:t>
      </w:r>
      <w:r>
        <w:rPr>
          <w:rFonts w:ascii="Arial Black" w:hAnsi="Arial Black" w:cs="Arial"/>
          <w:b/>
          <w:color w:val="5F497A" w:themeColor="accent4" w:themeShade="BF"/>
          <w:sz w:val="24"/>
          <w:szCs w:val="24"/>
        </w:rPr>
        <w:t xml:space="preserve">in </w:t>
      </w:r>
      <w:r w:rsidR="00DF0BAF">
        <w:rPr>
          <w:rFonts w:ascii="Arial Black" w:hAnsi="Arial Black" w:cs="Arial"/>
          <w:b/>
          <w:color w:val="5F497A" w:themeColor="accent4" w:themeShade="BF"/>
          <w:sz w:val="24"/>
          <w:szCs w:val="24"/>
        </w:rPr>
        <w:t>March 2019</w:t>
      </w:r>
      <w:r>
        <w:rPr>
          <w:rFonts w:ascii="Arial Black" w:hAnsi="Arial Black" w:cs="Arial"/>
          <w:b/>
          <w:color w:val="5F497A" w:themeColor="accent4" w:themeShade="BF"/>
          <w:sz w:val="24"/>
          <w:szCs w:val="24"/>
        </w:rPr>
        <w:t>)</w:t>
      </w:r>
    </w:p>
    <w:p w14:paraId="11359F4F" w14:textId="77777777" w:rsidR="0015172A" w:rsidRPr="006017FB" w:rsidRDefault="0015172A" w:rsidP="006017FB">
      <w:pPr>
        <w:spacing w:after="120" w:line="240" w:lineRule="auto"/>
        <w:rPr>
          <w:rFonts w:ascii="Arial" w:hAnsi="Arial" w:cs="Arial"/>
          <w:b/>
        </w:rPr>
      </w:pPr>
      <w:r w:rsidRPr="006017FB">
        <w:rPr>
          <w:rFonts w:ascii="Arial" w:hAnsi="Arial" w:cs="Arial"/>
          <w:b/>
        </w:rPr>
        <w:t>Introduction</w:t>
      </w:r>
    </w:p>
    <w:p w14:paraId="512D55B7" w14:textId="77777777" w:rsidR="0015172A" w:rsidRPr="006017FB" w:rsidRDefault="0015172A" w:rsidP="006017FB">
      <w:pPr>
        <w:spacing w:after="120" w:line="240" w:lineRule="auto"/>
        <w:rPr>
          <w:rFonts w:ascii="Arial" w:hAnsi="Arial" w:cs="Arial"/>
        </w:rPr>
      </w:pPr>
      <w:r w:rsidRPr="006017FB">
        <w:rPr>
          <w:rFonts w:ascii="Arial" w:hAnsi="Arial" w:cs="Arial"/>
        </w:rPr>
        <w:t xml:space="preserve">Barnet is well known for the excellent quality of </w:t>
      </w:r>
      <w:r w:rsidR="001910E3">
        <w:rPr>
          <w:rFonts w:ascii="Arial" w:hAnsi="Arial" w:cs="Arial"/>
        </w:rPr>
        <w:t>its</w:t>
      </w:r>
      <w:r w:rsidR="001910E3" w:rsidRPr="006017FB">
        <w:rPr>
          <w:rFonts w:ascii="Arial" w:hAnsi="Arial" w:cs="Arial"/>
        </w:rPr>
        <w:t xml:space="preserve"> </w:t>
      </w:r>
      <w:r w:rsidRPr="006017FB">
        <w:rPr>
          <w:rFonts w:ascii="Arial" w:hAnsi="Arial" w:cs="Arial"/>
        </w:rPr>
        <w:t xml:space="preserve">schools and the diversity of </w:t>
      </w:r>
      <w:r w:rsidR="001910E3">
        <w:rPr>
          <w:rFonts w:ascii="Arial" w:hAnsi="Arial" w:cs="Arial"/>
        </w:rPr>
        <w:t>its</w:t>
      </w:r>
      <w:r w:rsidR="001910E3" w:rsidRPr="006017FB">
        <w:rPr>
          <w:rFonts w:ascii="Arial" w:hAnsi="Arial" w:cs="Arial"/>
        </w:rPr>
        <w:t xml:space="preserve"> </w:t>
      </w:r>
      <w:r w:rsidRPr="006017FB">
        <w:rPr>
          <w:rFonts w:ascii="Arial" w:hAnsi="Arial" w:cs="Arial"/>
        </w:rPr>
        <w:t xml:space="preserve">educational offer.  These are at the heart of Barnet’s continuing success as a desirable place where people want to live, work and study.   Excellent educational outcomes and ensuring children and young people are equipped to meet the needs of employers are vital to Barnet’s future success.  </w:t>
      </w:r>
    </w:p>
    <w:p w14:paraId="533E3A47" w14:textId="32F898B3" w:rsidR="0015172A" w:rsidRPr="006017FB" w:rsidRDefault="0015172A" w:rsidP="006017FB">
      <w:pPr>
        <w:pStyle w:val="NoSpacing"/>
        <w:spacing w:after="120"/>
        <w:rPr>
          <w:rFonts w:ascii="Arial" w:hAnsi="Arial" w:cs="Arial"/>
        </w:rPr>
      </w:pPr>
      <w:r w:rsidRPr="006017FB">
        <w:rPr>
          <w:rFonts w:ascii="Arial" w:hAnsi="Arial" w:cs="Arial"/>
        </w:rPr>
        <w:t xml:space="preserve">Barnet </w:t>
      </w:r>
      <w:r w:rsidRPr="00E40360">
        <w:rPr>
          <w:rFonts w:ascii="Arial" w:hAnsi="Arial" w:cs="Arial"/>
        </w:rPr>
        <w:t>has 12</w:t>
      </w:r>
      <w:r w:rsidR="00E82EEF">
        <w:rPr>
          <w:rFonts w:ascii="Arial" w:hAnsi="Arial" w:cs="Arial"/>
        </w:rPr>
        <w:t>7</w:t>
      </w:r>
      <w:r w:rsidRPr="00E40360">
        <w:rPr>
          <w:rFonts w:ascii="Arial" w:hAnsi="Arial" w:cs="Arial"/>
        </w:rPr>
        <w:t xml:space="preserve"> schools</w:t>
      </w:r>
      <w:r w:rsidR="00E82EEF">
        <w:rPr>
          <w:rFonts w:ascii="Arial" w:hAnsi="Arial" w:cs="Arial"/>
        </w:rPr>
        <w:t xml:space="preserve"> - </w:t>
      </w:r>
      <w:r w:rsidRPr="00E40360">
        <w:rPr>
          <w:rFonts w:ascii="Arial" w:hAnsi="Arial" w:cs="Arial"/>
        </w:rPr>
        <w:t>2</w:t>
      </w:r>
      <w:r w:rsidR="0043532B">
        <w:rPr>
          <w:rFonts w:ascii="Arial" w:hAnsi="Arial" w:cs="Arial"/>
        </w:rPr>
        <w:t>2</w:t>
      </w:r>
      <w:r w:rsidRPr="00E40360">
        <w:rPr>
          <w:rFonts w:ascii="Arial" w:hAnsi="Arial" w:cs="Arial"/>
        </w:rPr>
        <w:t xml:space="preserve"> secondary schools, </w:t>
      </w:r>
      <w:r w:rsidR="00E40360" w:rsidRPr="00E40360">
        <w:rPr>
          <w:rFonts w:ascii="Arial" w:hAnsi="Arial" w:cs="Arial"/>
        </w:rPr>
        <w:t>90</w:t>
      </w:r>
      <w:r w:rsidRPr="00E40360">
        <w:rPr>
          <w:rFonts w:ascii="Arial" w:hAnsi="Arial" w:cs="Arial"/>
        </w:rPr>
        <w:t xml:space="preserve"> primary schools, </w:t>
      </w:r>
      <w:r w:rsidR="0043532B">
        <w:rPr>
          <w:rFonts w:ascii="Arial" w:hAnsi="Arial" w:cs="Arial"/>
        </w:rPr>
        <w:t>3</w:t>
      </w:r>
      <w:r w:rsidRPr="00E40360">
        <w:rPr>
          <w:rFonts w:ascii="Arial" w:hAnsi="Arial" w:cs="Arial"/>
        </w:rPr>
        <w:t xml:space="preserve"> all</w:t>
      </w:r>
      <w:r w:rsidRPr="006017FB">
        <w:rPr>
          <w:rFonts w:ascii="Arial" w:hAnsi="Arial" w:cs="Arial"/>
        </w:rPr>
        <w:t xml:space="preserve"> through school</w:t>
      </w:r>
      <w:r w:rsidR="0043532B">
        <w:rPr>
          <w:rFonts w:ascii="Arial" w:hAnsi="Arial" w:cs="Arial"/>
        </w:rPr>
        <w:t>s</w:t>
      </w:r>
      <w:r w:rsidR="00043EDD">
        <w:rPr>
          <w:rFonts w:ascii="Arial" w:hAnsi="Arial" w:cs="Arial"/>
        </w:rPr>
        <w:t>,</w:t>
      </w:r>
      <w:r w:rsidRPr="006017FB">
        <w:rPr>
          <w:rFonts w:ascii="Arial" w:hAnsi="Arial" w:cs="Arial"/>
        </w:rPr>
        <w:t xml:space="preserve"> four nursery schools, </w:t>
      </w:r>
      <w:r w:rsidR="00E82EEF">
        <w:rPr>
          <w:rFonts w:ascii="Arial" w:hAnsi="Arial" w:cs="Arial"/>
        </w:rPr>
        <w:t>six</w:t>
      </w:r>
      <w:r w:rsidRPr="006017FB">
        <w:rPr>
          <w:rFonts w:ascii="Arial" w:hAnsi="Arial" w:cs="Arial"/>
        </w:rPr>
        <w:t xml:space="preserve"> special schools and two pupil referral units. </w:t>
      </w:r>
      <w:r w:rsidR="00732733">
        <w:rPr>
          <w:rFonts w:ascii="Arial" w:hAnsi="Arial" w:cs="Arial"/>
        </w:rPr>
        <w:t xml:space="preserve"> There is also one sixth-form college and one General Further Education College.</w:t>
      </w:r>
      <w:r w:rsidR="00732733" w:rsidRPr="006017FB">
        <w:rPr>
          <w:rFonts w:ascii="Arial" w:hAnsi="Arial" w:cs="Arial"/>
        </w:rPr>
        <w:t xml:space="preserve"> </w:t>
      </w:r>
      <w:r w:rsidRPr="006017FB">
        <w:rPr>
          <w:rFonts w:ascii="Arial" w:hAnsi="Arial" w:cs="Arial"/>
        </w:rPr>
        <w:t>The number of pupils is growing and although there has been a substantial investment programme to provide new school places, more still are required as we move towards the end of the decade.</w:t>
      </w:r>
    </w:p>
    <w:p w14:paraId="154E85BF" w14:textId="77777777" w:rsidR="0015172A" w:rsidRDefault="0015172A" w:rsidP="006017FB">
      <w:pPr>
        <w:pStyle w:val="NoSpacing"/>
        <w:spacing w:after="120"/>
        <w:rPr>
          <w:rFonts w:ascii="Arial" w:hAnsi="Arial" w:cs="Arial"/>
        </w:rPr>
      </w:pPr>
      <w:r w:rsidRPr="006017FB">
        <w:rPr>
          <w:rFonts w:ascii="Arial" w:hAnsi="Arial" w:cs="Arial"/>
        </w:rPr>
        <w:t xml:space="preserve">In recent years children’s achievements in Barnet’s schools at all key stages have been among the very best in the country and a high proportion of Barnet’s young people progress on to higher education.  Over 90% of Barnet pupils are at schools which were graded good or better at their last Ofsted inspection.  </w:t>
      </w:r>
    </w:p>
    <w:p w14:paraId="006D9C99" w14:textId="77777777" w:rsidR="00395B93" w:rsidRPr="00395B93" w:rsidRDefault="00395B93" w:rsidP="006017FB">
      <w:pPr>
        <w:pStyle w:val="NoSpacing"/>
        <w:spacing w:after="120"/>
        <w:rPr>
          <w:rFonts w:ascii="Arial" w:hAnsi="Arial" w:cs="Arial"/>
          <w:b/>
          <w:i/>
        </w:rPr>
      </w:pPr>
      <w:r w:rsidRPr="00395B93">
        <w:rPr>
          <w:rFonts w:ascii="Arial" w:hAnsi="Arial" w:cs="Arial"/>
          <w:b/>
          <w:i/>
        </w:rPr>
        <w:t>Resilience</w:t>
      </w:r>
    </w:p>
    <w:p w14:paraId="081D5381" w14:textId="77777777" w:rsidR="006017FB" w:rsidRDefault="007604AD" w:rsidP="006017FB">
      <w:pPr>
        <w:spacing w:after="120" w:line="240" w:lineRule="auto"/>
        <w:rPr>
          <w:rFonts w:ascii="Arial" w:hAnsi="Arial" w:cs="Arial"/>
        </w:rPr>
      </w:pPr>
      <w:r w:rsidRPr="006017FB">
        <w:rPr>
          <w:rFonts w:ascii="Arial" w:hAnsi="Arial" w:cs="Arial"/>
        </w:rPr>
        <w:t>We want to make B</w:t>
      </w:r>
      <w:r w:rsidR="0064394C" w:rsidRPr="006017FB">
        <w:rPr>
          <w:rFonts w:ascii="Arial" w:hAnsi="Arial" w:cs="Arial"/>
        </w:rPr>
        <w:t xml:space="preserve">arnet </w:t>
      </w:r>
      <w:r w:rsidR="00E725FA" w:rsidRPr="00E725FA">
        <w:rPr>
          <w:rFonts w:ascii="Arial" w:hAnsi="Arial" w:cs="Arial"/>
        </w:rPr>
        <w:t>the most Family Friendly Borough by 2020</w:t>
      </w:r>
      <w:r w:rsidR="0064394C" w:rsidRPr="006017FB">
        <w:rPr>
          <w:rFonts w:ascii="Arial" w:hAnsi="Arial" w:cs="Arial"/>
        </w:rPr>
        <w:t>. Our strategy to achieve this is to focus on developing families’ resilience, which evidence tells us is pivotal to delivering the best outcomes for children and young people.  The role that schools play in the day to day life of children and their families provides a unique opportunity to promote and embed resilience. Resilien</w:t>
      </w:r>
      <w:r w:rsidR="00DE179D">
        <w:rPr>
          <w:rFonts w:ascii="Arial" w:hAnsi="Arial" w:cs="Arial"/>
        </w:rPr>
        <w:t>ce</w:t>
      </w:r>
      <w:r w:rsidR="0064394C" w:rsidRPr="006017FB">
        <w:rPr>
          <w:rFonts w:ascii="Arial" w:hAnsi="Arial" w:cs="Arial"/>
        </w:rPr>
        <w:t xml:space="preserve"> based practice sits at the heart of improving outcomes for children and young people; an approach that is based </w:t>
      </w:r>
      <w:r w:rsidR="00DE179D">
        <w:rPr>
          <w:rFonts w:ascii="Arial" w:hAnsi="Arial" w:cs="Arial"/>
        </w:rPr>
        <w:t xml:space="preserve">on </w:t>
      </w:r>
      <w:r w:rsidR="0064394C" w:rsidRPr="006017FB">
        <w:rPr>
          <w:rFonts w:ascii="Arial" w:hAnsi="Arial" w:cs="Arial"/>
        </w:rPr>
        <w:t xml:space="preserve">looking for strengths and opportunities to build on, rather than for issues or problems to treat. </w:t>
      </w:r>
      <w:r w:rsidR="00444713">
        <w:rPr>
          <w:rFonts w:ascii="Arial" w:hAnsi="Arial" w:cs="Arial"/>
        </w:rPr>
        <w:t xml:space="preserve"> </w:t>
      </w:r>
    </w:p>
    <w:p w14:paraId="68193F00" w14:textId="77777777" w:rsidR="0064394C" w:rsidRPr="006017FB" w:rsidRDefault="007604AD" w:rsidP="006017FB">
      <w:pPr>
        <w:spacing w:after="120" w:line="240" w:lineRule="auto"/>
        <w:rPr>
          <w:rFonts w:ascii="Arial" w:hAnsi="Arial" w:cs="Arial"/>
        </w:rPr>
      </w:pPr>
      <w:r w:rsidRPr="006017FB">
        <w:rPr>
          <w:rFonts w:ascii="Arial" w:hAnsi="Arial" w:cs="Arial"/>
        </w:rPr>
        <w:t>At the same time our education vision recognises the barriers facing many disadvantaged and vulnerable children and young people and includes a clear commitment to accelerating their progress and closing the gap between them and their peers.</w:t>
      </w:r>
    </w:p>
    <w:p w14:paraId="2B92BEC0" w14:textId="77777777" w:rsidR="00395B93" w:rsidRPr="00395B93" w:rsidRDefault="00395B93" w:rsidP="006017FB">
      <w:pPr>
        <w:spacing w:after="120" w:line="240" w:lineRule="auto"/>
        <w:rPr>
          <w:rFonts w:ascii="Arial" w:hAnsi="Arial" w:cs="Arial"/>
          <w:b/>
          <w:i/>
        </w:rPr>
      </w:pPr>
      <w:r w:rsidRPr="00395B93">
        <w:rPr>
          <w:rFonts w:ascii="Arial" w:hAnsi="Arial" w:cs="Arial"/>
          <w:b/>
          <w:i/>
        </w:rPr>
        <w:t>Partnership</w:t>
      </w:r>
    </w:p>
    <w:p w14:paraId="37ACA285" w14:textId="77777777" w:rsidR="0064394C" w:rsidRPr="006017FB" w:rsidRDefault="0015172A" w:rsidP="006017FB">
      <w:pPr>
        <w:spacing w:after="120" w:line="240" w:lineRule="auto"/>
        <w:rPr>
          <w:rFonts w:ascii="Arial" w:hAnsi="Arial" w:cs="Arial"/>
        </w:rPr>
      </w:pPr>
      <w:r w:rsidRPr="006017FB">
        <w:rPr>
          <w:rFonts w:ascii="Arial" w:hAnsi="Arial" w:cs="Arial"/>
        </w:rPr>
        <w:t>In April 201</w:t>
      </w:r>
      <w:r w:rsidR="00444713">
        <w:rPr>
          <w:rFonts w:ascii="Arial" w:hAnsi="Arial" w:cs="Arial"/>
        </w:rPr>
        <w:t>6</w:t>
      </w:r>
      <w:r w:rsidRPr="006017FB">
        <w:rPr>
          <w:rFonts w:ascii="Arial" w:hAnsi="Arial" w:cs="Arial"/>
        </w:rPr>
        <w:t xml:space="preserve">, the council entered into a </w:t>
      </w:r>
      <w:r w:rsidR="006017FB">
        <w:rPr>
          <w:rFonts w:ascii="Arial" w:hAnsi="Arial" w:cs="Arial"/>
        </w:rPr>
        <w:t>seven</w:t>
      </w:r>
      <w:r w:rsidRPr="006017FB">
        <w:rPr>
          <w:rFonts w:ascii="Arial" w:hAnsi="Arial" w:cs="Arial"/>
        </w:rPr>
        <w:t xml:space="preserve">-year strategic partnership with Cambridge Education (trading as Mott Macdonald) for the provision of its education services, an arrangement that is governed in partnership with schools. </w:t>
      </w:r>
      <w:r w:rsidR="0064394C" w:rsidRPr="006017FB">
        <w:rPr>
          <w:rFonts w:ascii="Arial" w:hAnsi="Arial" w:cs="Arial"/>
        </w:rPr>
        <w:t>Partnership with schools, between schools and between the education service and other agencies is key to the continuing success of our schools and young people,</w:t>
      </w:r>
    </w:p>
    <w:p w14:paraId="74E388D4" w14:textId="77777777" w:rsidR="007604AD" w:rsidRPr="006017FB" w:rsidRDefault="007604AD" w:rsidP="006017FB">
      <w:pPr>
        <w:spacing w:after="120" w:line="240" w:lineRule="auto"/>
        <w:rPr>
          <w:rFonts w:ascii="Arial" w:hAnsi="Arial" w:cs="Arial"/>
        </w:rPr>
      </w:pPr>
      <w:r w:rsidRPr="006017FB">
        <w:rPr>
          <w:rFonts w:ascii="Arial" w:hAnsi="Arial" w:cs="Arial"/>
        </w:rPr>
        <w:t>The council is committed to maintaining an active role in working with schools to ensure the continued and growing success of education in Barnet.  We recognise and welcome the growing diversity of governance models amongst our schools and the changing role of the local authority but we believe in investing in education, in championing the needs and aspirations of children and young people</w:t>
      </w:r>
      <w:r w:rsidR="006017FB">
        <w:rPr>
          <w:rFonts w:ascii="Arial" w:hAnsi="Arial" w:cs="Arial"/>
        </w:rPr>
        <w:t xml:space="preserve"> and</w:t>
      </w:r>
      <w:r w:rsidRPr="006017FB">
        <w:rPr>
          <w:rFonts w:ascii="Arial" w:hAnsi="Arial" w:cs="Arial"/>
        </w:rPr>
        <w:t xml:space="preserve"> in taking a strategic pro-active approach to ensuring we h</w:t>
      </w:r>
      <w:r w:rsidR="006017FB" w:rsidRPr="006017FB">
        <w:rPr>
          <w:rFonts w:ascii="Arial" w:hAnsi="Arial" w:cs="Arial"/>
        </w:rPr>
        <w:t>ave sufficient school places, a high quality educational offer in all our schools and that we and school</w:t>
      </w:r>
      <w:r w:rsidR="006017FB">
        <w:rPr>
          <w:rFonts w:ascii="Arial" w:hAnsi="Arial" w:cs="Arial"/>
        </w:rPr>
        <w:t>s</w:t>
      </w:r>
      <w:r w:rsidR="006017FB" w:rsidRPr="006017FB">
        <w:rPr>
          <w:rFonts w:ascii="Arial" w:hAnsi="Arial" w:cs="Arial"/>
        </w:rPr>
        <w:t xml:space="preserve"> work together the meet the needs and promote the achievement of all pupils</w:t>
      </w:r>
      <w:r w:rsidR="00444713">
        <w:rPr>
          <w:rFonts w:ascii="Arial" w:hAnsi="Arial" w:cs="Arial"/>
        </w:rPr>
        <w:t>,</w:t>
      </w:r>
      <w:r w:rsidR="006017FB" w:rsidRPr="006017FB">
        <w:rPr>
          <w:rFonts w:ascii="Arial" w:hAnsi="Arial" w:cs="Arial"/>
        </w:rPr>
        <w:t xml:space="preserve"> including the most vulnerable and disadvantaged.</w:t>
      </w:r>
    </w:p>
    <w:p w14:paraId="580515EA" w14:textId="77777777" w:rsidR="006017FB" w:rsidRPr="006017FB" w:rsidRDefault="0064394C" w:rsidP="006017FB">
      <w:pPr>
        <w:spacing w:after="120" w:line="240" w:lineRule="auto"/>
        <w:rPr>
          <w:rFonts w:ascii="Arial" w:hAnsi="Arial" w:cs="Arial"/>
        </w:rPr>
      </w:pPr>
      <w:r w:rsidRPr="006017FB">
        <w:rPr>
          <w:rFonts w:ascii="Arial" w:hAnsi="Arial" w:cs="Arial"/>
        </w:rPr>
        <w:t xml:space="preserve">The partnership with Cambridge Education aims to maintain Barnet’s excellent education offer and the good relationship between the Council and schools, whilst also achieving the budget savings required by changes in local authority funding.  This is a significant challenge but we have made a good start in addressing it.  </w:t>
      </w:r>
      <w:r w:rsidR="0015172A" w:rsidRPr="006017FB">
        <w:rPr>
          <w:rFonts w:ascii="Arial" w:hAnsi="Arial" w:cs="Arial"/>
        </w:rPr>
        <w:t xml:space="preserve">There was a smooth transfer of all services previously provided to schools and the council, and new governance and performance monitoring regimes have been put in place. We have also completed a number of service </w:t>
      </w:r>
      <w:r w:rsidR="0015172A" w:rsidRPr="006017FB">
        <w:rPr>
          <w:rFonts w:ascii="Arial" w:hAnsi="Arial" w:cs="Arial"/>
        </w:rPr>
        <w:lastRenderedPageBreak/>
        <w:t>reviews in order to identify opportunities for service improvement, business development and efficiency savings.</w:t>
      </w:r>
      <w:r w:rsidR="007604AD" w:rsidRPr="006017FB">
        <w:rPr>
          <w:rFonts w:ascii="Arial" w:hAnsi="Arial" w:cs="Arial"/>
        </w:rPr>
        <w:t xml:space="preserve"> </w:t>
      </w:r>
    </w:p>
    <w:p w14:paraId="5626973C" w14:textId="77777777" w:rsidR="00D70CB5" w:rsidRPr="00D70CB5" w:rsidRDefault="00D70CB5" w:rsidP="006017FB">
      <w:pPr>
        <w:spacing w:after="120" w:line="240" w:lineRule="auto"/>
        <w:rPr>
          <w:rFonts w:ascii="Arial" w:hAnsi="Arial" w:cs="Arial"/>
          <w:b/>
          <w:i/>
        </w:rPr>
      </w:pPr>
      <w:r w:rsidRPr="00D70CB5">
        <w:rPr>
          <w:rFonts w:ascii="Arial" w:hAnsi="Arial" w:cs="Arial"/>
          <w:b/>
          <w:i/>
        </w:rPr>
        <w:t>Financial challenges</w:t>
      </w:r>
    </w:p>
    <w:p w14:paraId="2184C1D9" w14:textId="77777777" w:rsidR="006017FB" w:rsidRPr="006017FB" w:rsidRDefault="006017FB" w:rsidP="006017FB">
      <w:pPr>
        <w:spacing w:after="120" w:line="240" w:lineRule="auto"/>
        <w:rPr>
          <w:rFonts w:ascii="Arial" w:hAnsi="Arial" w:cs="Arial"/>
        </w:rPr>
      </w:pPr>
      <w:r w:rsidRPr="006017FB">
        <w:rPr>
          <w:rFonts w:ascii="Arial" w:hAnsi="Arial" w:cs="Arial"/>
        </w:rPr>
        <w:t xml:space="preserve">The education service, including schools, face major financial challenges now and over the next few years and we will work together to find ways to </w:t>
      </w:r>
      <w:r w:rsidR="00E725FA">
        <w:rPr>
          <w:rFonts w:ascii="Arial" w:hAnsi="Arial" w:cs="Arial"/>
        </w:rPr>
        <w:t xml:space="preserve">make sure schools are financially </w:t>
      </w:r>
      <w:r w:rsidR="00E725FA" w:rsidRPr="00E725FA">
        <w:rPr>
          <w:rFonts w:ascii="Arial" w:hAnsi="Arial" w:cs="Arial"/>
        </w:rPr>
        <w:t>sustainabl</w:t>
      </w:r>
      <w:r w:rsidR="00E725FA">
        <w:rPr>
          <w:rFonts w:ascii="Arial" w:hAnsi="Arial" w:cs="Arial"/>
        </w:rPr>
        <w:t>e and</w:t>
      </w:r>
      <w:r w:rsidR="00E725FA" w:rsidRPr="00E725FA">
        <w:rPr>
          <w:rFonts w:ascii="Arial" w:hAnsi="Arial" w:cs="Arial"/>
        </w:rPr>
        <w:t xml:space="preserve"> </w:t>
      </w:r>
      <w:r w:rsidR="00E725FA">
        <w:rPr>
          <w:rFonts w:ascii="Arial" w:hAnsi="Arial" w:cs="Arial"/>
        </w:rPr>
        <w:t xml:space="preserve">to </w:t>
      </w:r>
      <w:r w:rsidRPr="006017FB">
        <w:rPr>
          <w:rFonts w:ascii="Arial" w:hAnsi="Arial" w:cs="Arial"/>
        </w:rPr>
        <w:t>minimise any potential negative impact on the quality of teaching and learning and outcomes for children and young people.</w:t>
      </w:r>
    </w:p>
    <w:p w14:paraId="7D0D6EA1" w14:textId="77777777" w:rsidR="00D70CB5" w:rsidRPr="00D70CB5" w:rsidRDefault="00D70CB5" w:rsidP="006017FB">
      <w:pPr>
        <w:spacing w:after="120" w:line="240" w:lineRule="auto"/>
        <w:rPr>
          <w:rFonts w:ascii="Arial" w:hAnsi="Arial" w:cs="Arial"/>
          <w:b/>
          <w:i/>
        </w:rPr>
      </w:pPr>
      <w:r w:rsidRPr="00D70CB5">
        <w:rPr>
          <w:rFonts w:ascii="Arial" w:hAnsi="Arial" w:cs="Arial"/>
          <w:b/>
          <w:i/>
        </w:rPr>
        <w:t>Resilient schools</w:t>
      </w:r>
    </w:p>
    <w:p w14:paraId="075A1DAA" w14:textId="77777777" w:rsidR="0015172A" w:rsidRPr="006017FB" w:rsidRDefault="006017FB" w:rsidP="006017FB">
      <w:pPr>
        <w:spacing w:after="120" w:line="240" w:lineRule="auto"/>
        <w:rPr>
          <w:rFonts w:ascii="Arial" w:hAnsi="Arial" w:cs="Arial"/>
        </w:rPr>
      </w:pPr>
      <w:r w:rsidRPr="006017FB">
        <w:rPr>
          <w:rFonts w:ascii="Arial" w:hAnsi="Arial" w:cs="Arial"/>
        </w:rPr>
        <w:t>Resilient schools will help us to build resilient communities - w</w:t>
      </w:r>
      <w:r w:rsidR="007604AD" w:rsidRPr="006017FB">
        <w:rPr>
          <w:rFonts w:ascii="Arial" w:hAnsi="Arial" w:cs="Arial"/>
        </w:rPr>
        <w:t>orking together in partnership, the council and Cambridge Education will work with schools to ensure the best deal and the best outcomes for all of Barnet’</w:t>
      </w:r>
      <w:r w:rsidRPr="006017FB">
        <w:rPr>
          <w:rFonts w:ascii="Arial" w:hAnsi="Arial" w:cs="Arial"/>
        </w:rPr>
        <w:t xml:space="preserve">s children, young people and their families. </w:t>
      </w:r>
    </w:p>
    <w:p w14:paraId="2730A9F2" w14:textId="77777777" w:rsidR="00565ED5" w:rsidRPr="006017FB" w:rsidRDefault="00E94995" w:rsidP="00395B93">
      <w:pPr>
        <w:spacing w:before="240" w:after="120" w:line="240" w:lineRule="auto"/>
        <w:rPr>
          <w:rFonts w:ascii="Arial" w:hAnsi="Arial" w:cs="Arial"/>
          <w:b/>
        </w:rPr>
      </w:pPr>
      <w:r w:rsidRPr="006017FB">
        <w:rPr>
          <w:rFonts w:ascii="Arial" w:hAnsi="Arial" w:cs="Arial"/>
          <w:b/>
        </w:rPr>
        <w:t>Am</w:t>
      </w:r>
      <w:r w:rsidR="00565ED5" w:rsidRPr="006017FB">
        <w:rPr>
          <w:rFonts w:ascii="Arial" w:hAnsi="Arial" w:cs="Arial"/>
          <w:b/>
        </w:rPr>
        <w:t>bition and aims</w:t>
      </w:r>
    </w:p>
    <w:p w14:paraId="10F482AE" w14:textId="77777777" w:rsidR="00901D0A" w:rsidRPr="006017FB" w:rsidRDefault="00565ED5" w:rsidP="006017FB">
      <w:pPr>
        <w:tabs>
          <w:tab w:val="left" w:pos="0"/>
        </w:tabs>
        <w:spacing w:after="120" w:line="240" w:lineRule="auto"/>
        <w:rPr>
          <w:rStyle w:val="StyleArial11pt"/>
          <w:rFonts w:cs="Arial"/>
        </w:rPr>
      </w:pPr>
      <w:r w:rsidRPr="006017FB">
        <w:rPr>
          <w:rFonts w:ascii="Arial" w:hAnsi="Arial" w:cs="Arial"/>
        </w:rPr>
        <w:t>Barnet is a growing borough and t</w:t>
      </w:r>
      <w:r w:rsidRPr="006017FB">
        <w:rPr>
          <w:rStyle w:val="StyleArial11pt"/>
          <w:rFonts w:cs="Arial"/>
        </w:rPr>
        <w:t xml:space="preserve">he quality of education plays a crucial part in making the borough a popular and desirable place to live. </w:t>
      </w:r>
    </w:p>
    <w:p w14:paraId="0F4617EB" w14:textId="77777777" w:rsidR="00565ED5" w:rsidRPr="006017FB" w:rsidRDefault="00565ED5" w:rsidP="006017FB">
      <w:pPr>
        <w:tabs>
          <w:tab w:val="left" w:pos="0"/>
        </w:tabs>
        <w:spacing w:after="120" w:line="240" w:lineRule="auto"/>
        <w:rPr>
          <w:rFonts w:ascii="Arial" w:hAnsi="Arial" w:cs="Arial"/>
        </w:rPr>
      </w:pPr>
      <w:r w:rsidRPr="006017FB">
        <w:rPr>
          <w:rFonts w:ascii="Arial" w:hAnsi="Arial" w:cs="Arial"/>
        </w:rPr>
        <w:t xml:space="preserve">Our </w:t>
      </w:r>
      <w:r w:rsidR="00BE521A" w:rsidRPr="006017FB">
        <w:rPr>
          <w:rFonts w:ascii="Arial" w:hAnsi="Arial" w:cs="Arial"/>
        </w:rPr>
        <w:t>strategic vision</w:t>
      </w:r>
      <w:r w:rsidRPr="006017FB">
        <w:rPr>
          <w:rFonts w:ascii="Arial" w:hAnsi="Arial" w:cs="Arial"/>
        </w:rPr>
        <w:t xml:space="preserve"> for education in Barnet is:</w:t>
      </w:r>
    </w:p>
    <w:p w14:paraId="0F104986" w14:textId="77777777" w:rsidR="00565ED5" w:rsidRPr="006017FB" w:rsidRDefault="00444713" w:rsidP="006017FB">
      <w:pPr>
        <w:spacing w:after="120" w:line="240" w:lineRule="auto"/>
        <w:rPr>
          <w:rFonts w:ascii="Arial" w:hAnsi="Arial" w:cs="Arial"/>
          <w:i/>
        </w:rPr>
      </w:pPr>
      <w:r>
        <w:rPr>
          <w:rFonts w:ascii="Arial" w:hAnsi="Arial" w:cs="Arial"/>
          <w:i/>
        </w:rPr>
        <w:t xml:space="preserve">Resilient schools – resilient communities: </w:t>
      </w:r>
      <w:r w:rsidR="00565ED5" w:rsidRPr="006017FB">
        <w:rPr>
          <w:rFonts w:ascii="Arial" w:hAnsi="Arial" w:cs="Arial"/>
          <w:i/>
        </w:rPr>
        <w:t xml:space="preserve">We want Barnet to be the most successful place for high quality education where excellent school standards result in all children achieving their best, being safe and happy and </w:t>
      </w:r>
      <w:r w:rsidR="00565ED5" w:rsidRPr="006017FB">
        <w:rPr>
          <w:rFonts w:ascii="Arial" w:hAnsi="Arial" w:cs="Arial"/>
          <w:i/>
          <w:iCs/>
        </w:rPr>
        <w:t xml:space="preserve">able to progress </w:t>
      </w:r>
      <w:r w:rsidR="00565ED5" w:rsidRPr="006017FB">
        <w:rPr>
          <w:rFonts w:ascii="Arial" w:hAnsi="Arial" w:cs="Arial"/>
          <w:i/>
        </w:rPr>
        <w:t xml:space="preserve">to become successful adults. </w:t>
      </w:r>
    </w:p>
    <w:p w14:paraId="7EE1412A" w14:textId="77777777" w:rsidR="00BE521A" w:rsidRPr="006017FB" w:rsidRDefault="00565ED5" w:rsidP="006017FB">
      <w:pPr>
        <w:spacing w:after="120" w:line="240" w:lineRule="auto"/>
        <w:jc w:val="both"/>
        <w:rPr>
          <w:rFonts w:ascii="Arial" w:hAnsi="Arial" w:cs="Arial"/>
        </w:rPr>
      </w:pPr>
      <w:r w:rsidRPr="006017FB">
        <w:rPr>
          <w:rFonts w:ascii="Arial" w:hAnsi="Arial" w:cs="Arial"/>
        </w:rPr>
        <w:t>In order to achieve this</w:t>
      </w:r>
      <w:r w:rsidR="00EF0BF2" w:rsidRPr="006017FB">
        <w:rPr>
          <w:rFonts w:ascii="Arial" w:hAnsi="Arial" w:cs="Arial"/>
        </w:rPr>
        <w:t>,</w:t>
      </w:r>
      <w:r w:rsidRPr="006017FB">
        <w:rPr>
          <w:rFonts w:ascii="Arial" w:hAnsi="Arial" w:cs="Arial"/>
        </w:rPr>
        <w:t xml:space="preserve"> our </w:t>
      </w:r>
      <w:r w:rsidR="00BE521A" w:rsidRPr="006017FB">
        <w:rPr>
          <w:rFonts w:ascii="Arial" w:hAnsi="Arial" w:cs="Arial"/>
        </w:rPr>
        <w:t>mission is</w:t>
      </w:r>
      <w:r w:rsidR="00444713">
        <w:rPr>
          <w:rFonts w:ascii="Arial" w:hAnsi="Arial" w:cs="Arial"/>
        </w:rPr>
        <w:t>: T</w:t>
      </w:r>
      <w:r w:rsidR="00BE521A" w:rsidRPr="006017FB">
        <w:rPr>
          <w:rFonts w:ascii="Arial" w:hAnsi="Arial" w:cs="Arial"/>
        </w:rPr>
        <w:t>o ensure</w:t>
      </w:r>
      <w:r w:rsidR="00444713">
        <w:rPr>
          <w:rFonts w:ascii="Arial" w:hAnsi="Arial" w:cs="Arial"/>
        </w:rPr>
        <w:t>:</w:t>
      </w:r>
    </w:p>
    <w:p w14:paraId="228DDDE6" w14:textId="77777777" w:rsidR="00565ED5" w:rsidRPr="006017FB" w:rsidRDefault="00565ED5" w:rsidP="00A51784">
      <w:pPr>
        <w:numPr>
          <w:ilvl w:val="0"/>
          <w:numId w:val="1"/>
        </w:numPr>
        <w:spacing w:after="120" w:line="240" w:lineRule="auto"/>
        <w:ind w:left="714" w:hanging="357"/>
        <w:rPr>
          <w:rFonts w:ascii="Arial" w:hAnsi="Arial" w:cs="Arial"/>
        </w:rPr>
      </w:pPr>
      <w:r w:rsidRPr="006017FB">
        <w:rPr>
          <w:rFonts w:ascii="Arial" w:hAnsi="Arial" w:cs="Arial"/>
        </w:rPr>
        <w:t xml:space="preserve">Every child attends a </w:t>
      </w:r>
      <w:r w:rsidRPr="006017FB">
        <w:rPr>
          <w:rFonts w:ascii="Arial" w:hAnsi="Arial" w:cs="Arial"/>
          <w:b/>
          <w:bCs/>
        </w:rPr>
        <w:t>good or outstanding school</w:t>
      </w:r>
      <w:r w:rsidRPr="006017FB">
        <w:rPr>
          <w:rFonts w:ascii="Arial" w:hAnsi="Arial" w:cs="Arial"/>
        </w:rPr>
        <w:t xml:space="preserve">, as judged by Ofsted </w:t>
      </w:r>
    </w:p>
    <w:p w14:paraId="37867AED" w14:textId="77777777" w:rsidR="00565ED5" w:rsidRPr="006017FB" w:rsidRDefault="00565ED5" w:rsidP="00A51784">
      <w:pPr>
        <w:numPr>
          <w:ilvl w:val="0"/>
          <w:numId w:val="1"/>
        </w:numPr>
        <w:spacing w:after="120" w:line="240" w:lineRule="auto"/>
        <w:ind w:left="714" w:hanging="357"/>
        <w:rPr>
          <w:rFonts w:ascii="Arial" w:hAnsi="Arial" w:cs="Arial"/>
        </w:rPr>
      </w:pPr>
      <w:r w:rsidRPr="006017FB">
        <w:rPr>
          <w:rFonts w:ascii="Arial" w:hAnsi="Arial" w:cs="Arial"/>
        </w:rPr>
        <w:t xml:space="preserve">The </w:t>
      </w:r>
      <w:r w:rsidRPr="006017FB">
        <w:rPr>
          <w:rFonts w:ascii="Arial" w:hAnsi="Arial" w:cs="Arial"/>
          <w:bCs/>
        </w:rPr>
        <w:t>attainment</w:t>
      </w:r>
      <w:r w:rsidRPr="006017FB">
        <w:rPr>
          <w:rFonts w:ascii="Arial" w:hAnsi="Arial" w:cs="Arial"/>
        </w:rPr>
        <w:t xml:space="preserve"> and progress of children in Barnet schools is </w:t>
      </w:r>
      <w:r w:rsidRPr="006017FB">
        <w:rPr>
          <w:rFonts w:ascii="Arial" w:hAnsi="Arial" w:cs="Arial"/>
          <w:b/>
        </w:rPr>
        <w:t>within the top 10%</w:t>
      </w:r>
      <w:r w:rsidRPr="006017FB">
        <w:rPr>
          <w:rFonts w:ascii="Arial" w:hAnsi="Arial" w:cs="Arial"/>
        </w:rPr>
        <w:t xml:space="preserve"> nationally</w:t>
      </w:r>
    </w:p>
    <w:p w14:paraId="3D269CAE" w14:textId="77777777" w:rsidR="006036A4" w:rsidRPr="006017FB" w:rsidRDefault="00565ED5" w:rsidP="00A51784">
      <w:pPr>
        <w:numPr>
          <w:ilvl w:val="0"/>
          <w:numId w:val="1"/>
        </w:numPr>
        <w:spacing w:after="120" w:line="240" w:lineRule="auto"/>
        <w:ind w:left="714" w:hanging="357"/>
        <w:rPr>
          <w:rFonts w:ascii="Arial" w:hAnsi="Arial" w:cs="Arial"/>
        </w:rPr>
      </w:pPr>
      <w:r w:rsidRPr="006017FB">
        <w:rPr>
          <w:rFonts w:ascii="Arial" w:hAnsi="Arial" w:cs="Arial"/>
        </w:rPr>
        <w:t xml:space="preserve">There is accelerating progress of the most disadvantaged and vulnerable pupils in order to </w:t>
      </w:r>
      <w:r w:rsidRPr="006017FB">
        <w:rPr>
          <w:rFonts w:ascii="Arial" w:hAnsi="Arial" w:cs="Arial"/>
          <w:b/>
          <w:bCs/>
        </w:rPr>
        <w:t>close the gap</w:t>
      </w:r>
      <w:r w:rsidRPr="006017FB">
        <w:rPr>
          <w:rFonts w:ascii="Arial" w:hAnsi="Arial" w:cs="Arial"/>
        </w:rPr>
        <w:t xml:space="preserve"> between them and their peers.</w:t>
      </w:r>
    </w:p>
    <w:p w14:paraId="0D559D19" w14:textId="77777777" w:rsidR="00CC6BFF" w:rsidRPr="006017FB" w:rsidRDefault="00CC6BFF" w:rsidP="006017FB">
      <w:pPr>
        <w:spacing w:after="120" w:line="240" w:lineRule="auto"/>
        <w:rPr>
          <w:rFonts w:ascii="Arial" w:hAnsi="Arial" w:cs="Arial"/>
        </w:rPr>
      </w:pPr>
      <w:r w:rsidRPr="006017FB">
        <w:rPr>
          <w:rFonts w:ascii="Arial" w:hAnsi="Arial" w:cs="Arial"/>
        </w:rPr>
        <w:t>To do this we need</w:t>
      </w:r>
      <w:r w:rsidR="00BE521A" w:rsidRPr="006017FB">
        <w:rPr>
          <w:rFonts w:ascii="Arial" w:hAnsi="Arial" w:cs="Arial"/>
        </w:rPr>
        <w:t>:</w:t>
      </w:r>
    </w:p>
    <w:p w14:paraId="2878926A" w14:textId="77777777" w:rsidR="00CC6BFF" w:rsidRPr="006017FB" w:rsidRDefault="00CC6BFF" w:rsidP="00A51784">
      <w:pPr>
        <w:pStyle w:val="ListParagraph"/>
        <w:numPr>
          <w:ilvl w:val="0"/>
          <w:numId w:val="2"/>
        </w:numPr>
        <w:spacing w:after="120" w:line="240" w:lineRule="auto"/>
        <w:contextualSpacing w:val="0"/>
        <w:rPr>
          <w:rFonts w:ascii="Arial" w:hAnsi="Arial" w:cs="Arial"/>
        </w:rPr>
      </w:pPr>
      <w:r w:rsidRPr="006017FB">
        <w:rPr>
          <w:rFonts w:ascii="Arial" w:hAnsi="Arial" w:cs="Arial"/>
        </w:rPr>
        <w:t>Enough school places</w:t>
      </w:r>
    </w:p>
    <w:p w14:paraId="3495A72D" w14:textId="77777777" w:rsidR="00CC6BFF" w:rsidRPr="006017FB" w:rsidRDefault="00EF0BF2" w:rsidP="00A51784">
      <w:pPr>
        <w:pStyle w:val="ListParagraph"/>
        <w:numPr>
          <w:ilvl w:val="0"/>
          <w:numId w:val="2"/>
        </w:numPr>
        <w:spacing w:after="120" w:line="240" w:lineRule="auto"/>
        <w:contextualSpacing w:val="0"/>
        <w:rPr>
          <w:rFonts w:ascii="Arial" w:hAnsi="Arial" w:cs="Arial"/>
        </w:rPr>
      </w:pPr>
      <w:r w:rsidRPr="006017FB">
        <w:rPr>
          <w:rFonts w:ascii="Arial" w:hAnsi="Arial" w:cs="Arial"/>
        </w:rPr>
        <w:t>All schools to be good or outstanding</w:t>
      </w:r>
    </w:p>
    <w:p w14:paraId="6C3B4BCD" w14:textId="77777777" w:rsidR="00CC6BFF" w:rsidRPr="006017FB" w:rsidRDefault="00CC6BFF" w:rsidP="00A51784">
      <w:pPr>
        <w:pStyle w:val="ListParagraph"/>
        <w:numPr>
          <w:ilvl w:val="0"/>
          <w:numId w:val="2"/>
        </w:numPr>
        <w:spacing w:after="120" w:line="240" w:lineRule="auto"/>
        <w:contextualSpacing w:val="0"/>
        <w:rPr>
          <w:rFonts w:ascii="Arial" w:hAnsi="Arial" w:cs="Arial"/>
        </w:rPr>
      </w:pPr>
      <w:r w:rsidRPr="006017FB">
        <w:rPr>
          <w:rFonts w:ascii="Arial" w:hAnsi="Arial" w:cs="Arial"/>
        </w:rPr>
        <w:t>High levels of attainment and progress in all phases</w:t>
      </w:r>
    </w:p>
    <w:p w14:paraId="39D7EB3D" w14:textId="77777777" w:rsidR="00CC6BFF" w:rsidRPr="006017FB" w:rsidRDefault="00CC6BFF" w:rsidP="00A51784">
      <w:pPr>
        <w:pStyle w:val="ListParagraph"/>
        <w:numPr>
          <w:ilvl w:val="0"/>
          <w:numId w:val="2"/>
        </w:numPr>
        <w:spacing w:after="120" w:line="240" w:lineRule="auto"/>
        <w:contextualSpacing w:val="0"/>
        <w:rPr>
          <w:rFonts w:ascii="Arial" w:hAnsi="Arial" w:cs="Arial"/>
        </w:rPr>
      </w:pPr>
      <w:r w:rsidRPr="006017FB">
        <w:rPr>
          <w:rFonts w:ascii="Arial" w:hAnsi="Arial" w:cs="Arial"/>
        </w:rPr>
        <w:t>A relentless focus on meeting the needs of vulnerable pupils, including those with SEND, children looked after</w:t>
      </w:r>
      <w:r w:rsidR="00EF0BF2" w:rsidRPr="006017FB">
        <w:rPr>
          <w:rFonts w:ascii="Arial" w:hAnsi="Arial" w:cs="Arial"/>
        </w:rPr>
        <w:t>,</w:t>
      </w:r>
      <w:r w:rsidRPr="006017FB">
        <w:rPr>
          <w:rFonts w:ascii="Arial" w:hAnsi="Arial" w:cs="Arial"/>
        </w:rPr>
        <w:t xml:space="preserve"> </w:t>
      </w:r>
      <w:r w:rsidR="00CB2E86" w:rsidRPr="006017FB">
        <w:rPr>
          <w:rFonts w:ascii="Arial" w:hAnsi="Arial" w:cs="Arial"/>
        </w:rPr>
        <w:t>c</w:t>
      </w:r>
      <w:r w:rsidRPr="006017FB">
        <w:rPr>
          <w:rFonts w:ascii="Arial" w:hAnsi="Arial" w:cs="Arial"/>
        </w:rPr>
        <w:t>hildren in need</w:t>
      </w:r>
      <w:r w:rsidR="00EF0BF2" w:rsidRPr="006017FB">
        <w:rPr>
          <w:rFonts w:ascii="Arial" w:hAnsi="Arial" w:cs="Arial"/>
        </w:rPr>
        <w:t xml:space="preserve"> and</w:t>
      </w:r>
      <w:r w:rsidRPr="006017FB">
        <w:rPr>
          <w:rFonts w:ascii="Arial" w:hAnsi="Arial" w:cs="Arial"/>
        </w:rPr>
        <w:t xml:space="preserve"> children </w:t>
      </w:r>
      <w:r w:rsidR="00EF0BF2" w:rsidRPr="006017FB">
        <w:rPr>
          <w:rFonts w:ascii="Arial" w:hAnsi="Arial" w:cs="Arial"/>
        </w:rPr>
        <w:t>eligible for free school meals.</w:t>
      </w:r>
    </w:p>
    <w:p w14:paraId="2B684F10" w14:textId="77777777" w:rsidR="00CC6BFF" w:rsidRPr="006017FB" w:rsidRDefault="00CB2E86" w:rsidP="00395B93">
      <w:pPr>
        <w:spacing w:before="240" w:after="120" w:line="240" w:lineRule="auto"/>
        <w:rPr>
          <w:rFonts w:ascii="Arial" w:hAnsi="Arial" w:cs="Arial"/>
          <w:b/>
        </w:rPr>
      </w:pPr>
      <w:r w:rsidRPr="006017FB">
        <w:rPr>
          <w:rFonts w:ascii="Arial" w:hAnsi="Arial" w:cs="Arial"/>
          <w:b/>
        </w:rPr>
        <w:t>Strategic goals</w:t>
      </w:r>
    </w:p>
    <w:p w14:paraId="5BADF2BA" w14:textId="77777777" w:rsidR="006036A4" w:rsidRPr="006017FB" w:rsidRDefault="006036A4" w:rsidP="006017FB">
      <w:pPr>
        <w:spacing w:after="120" w:line="240" w:lineRule="auto"/>
        <w:rPr>
          <w:rFonts w:ascii="Arial" w:hAnsi="Arial" w:cs="Arial"/>
        </w:rPr>
      </w:pPr>
      <w:r w:rsidRPr="006017FB">
        <w:rPr>
          <w:rFonts w:ascii="Arial" w:hAnsi="Arial" w:cs="Arial"/>
        </w:rPr>
        <w:t xml:space="preserve">To </w:t>
      </w:r>
      <w:r w:rsidR="00EF0BF2" w:rsidRPr="006017FB">
        <w:rPr>
          <w:rFonts w:ascii="Arial" w:hAnsi="Arial" w:cs="Arial"/>
        </w:rPr>
        <w:t>deliver this</w:t>
      </w:r>
      <w:r w:rsidRPr="006017FB">
        <w:rPr>
          <w:rFonts w:ascii="Arial" w:hAnsi="Arial" w:cs="Arial"/>
        </w:rPr>
        <w:t>, we need to pursue a number of strategi</w:t>
      </w:r>
      <w:r w:rsidR="00901D0A" w:rsidRPr="006017FB">
        <w:rPr>
          <w:rFonts w:ascii="Arial" w:hAnsi="Arial" w:cs="Arial"/>
        </w:rPr>
        <w:t>c goals</w:t>
      </w:r>
      <w:r w:rsidR="00444713">
        <w:rPr>
          <w:rFonts w:ascii="Arial" w:hAnsi="Arial" w:cs="Arial"/>
        </w:rPr>
        <w:t xml:space="preserve"> around the key themes of Access, Inclusion and Achievement</w:t>
      </w:r>
      <w:r w:rsidR="00901D0A" w:rsidRPr="006017FB">
        <w:rPr>
          <w:rFonts w:ascii="Arial" w:hAnsi="Arial" w:cs="Arial"/>
        </w:rPr>
        <w:t>:</w:t>
      </w:r>
    </w:p>
    <w:p w14:paraId="3B45A236" w14:textId="77777777" w:rsidR="00BE521A" w:rsidRPr="006017FB" w:rsidRDefault="0073768B" w:rsidP="00A51784">
      <w:pPr>
        <w:pStyle w:val="ListParagraph"/>
        <w:numPr>
          <w:ilvl w:val="0"/>
          <w:numId w:val="3"/>
        </w:numPr>
        <w:spacing w:after="120" w:line="240" w:lineRule="auto"/>
        <w:contextualSpacing w:val="0"/>
        <w:rPr>
          <w:rFonts w:ascii="Arial" w:hAnsi="Arial" w:cs="Arial"/>
          <w:b/>
        </w:rPr>
      </w:pPr>
      <w:r w:rsidRPr="006017FB">
        <w:rPr>
          <w:rFonts w:ascii="Arial" w:hAnsi="Arial" w:cs="Arial"/>
          <w:b/>
        </w:rPr>
        <w:t>Strategic goal 1</w:t>
      </w:r>
      <w:r w:rsidR="00901D0A" w:rsidRPr="006017FB">
        <w:rPr>
          <w:rFonts w:ascii="Arial" w:hAnsi="Arial" w:cs="Arial"/>
        </w:rPr>
        <w:t xml:space="preserve"> </w:t>
      </w:r>
      <w:r w:rsidR="00901D0A" w:rsidRPr="006017FB">
        <w:rPr>
          <w:rFonts w:ascii="Arial" w:hAnsi="Arial" w:cs="Arial"/>
          <w:b/>
        </w:rPr>
        <w:t>-</w:t>
      </w:r>
      <w:r w:rsidR="00901D0A" w:rsidRPr="006017FB">
        <w:rPr>
          <w:rFonts w:ascii="Arial" w:hAnsi="Arial" w:cs="Arial"/>
        </w:rPr>
        <w:t xml:space="preserve"> </w:t>
      </w:r>
      <w:r w:rsidR="00444713">
        <w:rPr>
          <w:rFonts w:ascii="Arial" w:hAnsi="Arial" w:cs="Arial"/>
          <w:b/>
        </w:rPr>
        <w:t>Access</w:t>
      </w:r>
    </w:p>
    <w:p w14:paraId="796CC6E2" w14:textId="77777777" w:rsidR="006036A4" w:rsidRPr="006017FB" w:rsidRDefault="006036A4" w:rsidP="006017FB">
      <w:pPr>
        <w:spacing w:after="120" w:line="240" w:lineRule="auto"/>
        <w:ind w:left="360"/>
        <w:rPr>
          <w:rFonts w:ascii="Arial" w:hAnsi="Arial" w:cs="Arial"/>
        </w:rPr>
      </w:pPr>
      <w:r w:rsidRPr="006017FB">
        <w:rPr>
          <w:rFonts w:ascii="Arial" w:hAnsi="Arial" w:cs="Arial"/>
        </w:rPr>
        <w:t xml:space="preserve">To ensure </w:t>
      </w:r>
      <w:r w:rsidR="001E3A9E" w:rsidRPr="006017FB">
        <w:rPr>
          <w:rFonts w:ascii="Arial" w:hAnsi="Arial" w:cs="Arial"/>
        </w:rPr>
        <w:t>there are</w:t>
      </w:r>
      <w:r w:rsidRPr="006017FB">
        <w:rPr>
          <w:rFonts w:ascii="Arial" w:hAnsi="Arial" w:cs="Arial"/>
        </w:rPr>
        <w:t xml:space="preserve"> sufficient </w:t>
      </w:r>
      <w:r w:rsidR="00C17E4C">
        <w:rPr>
          <w:rFonts w:ascii="Arial" w:hAnsi="Arial" w:cs="Arial"/>
        </w:rPr>
        <w:t xml:space="preserve">high-quality </w:t>
      </w:r>
      <w:r w:rsidRPr="006017FB">
        <w:rPr>
          <w:rFonts w:ascii="Arial" w:hAnsi="Arial" w:cs="Arial"/>
        </w:rPr>
        <w:t xml:space="preserve">school places to meet the needs of Barnet residents, including </w:t>
      </w:r>
      <w:r w:rsidR="00E725FA">
        <w:rPr>
          <w:rFonts w:ascii="Arial" w:hAnsi="Arial" w:cs="Arial"/>
        </w:rPr>
        <w:t xml:space="preserve">local </w:t>
      </w:r>
      <w:r w:rsidRPr="006017FB">
        <w:rPr>
          <w:rFonts w:ascii="Arial" w:hAnsi="Arial" w:cs="Arial"/>
        </w:rPr>
        <w:t>specialist provision when required for children and young people with special educational needs and disabilities</w:t>
      </w:r>
      <w:r w:rsidR="00EA400A">
        <w:rPr>
          <w:rFonts w:ascii="Arial" w:hAnsi="Arial" w:cs="Arial"/>
        </w:rPr>
        <w:t xml:space="preserve">, and that school organisation </w:t>
      </w:r>
      <w:r w:rsidR="00DC660B">
        <w:rPr>
          <w:rFonts w:ascii="Arial" w:hAnsi="Arial" w:cs="Arial"/>
        </w:rPr>
        <w:t xml:space="preserve">and governance </w:t>
      </w:r>
      <w:r w:rsidR="00EA400A">
        <w:rPr>
          <w:rFonts w:ascii="Arial" w:hAnsi="Arial" w:cs="Arial"/>
        </w:rPr>
        <w:t>arrangements are financially sustainable</w:t>
      </w:r>
    </w:p>
    <w:p w14:paraId="5D16C110" w14:textId="77777777" w:rsidR="0073768B" w:rsidRPr="006017FB" w:rsidRDefault="00BE521A" w:rsidP="00A51784">
      <w:pPr>
        <w:pStyle w:val="ListParagraph"/>
        <w:numPr>
          <w:ilvl w:val="0"/>
          <w:numId w:val="3"/>
        </w:numPr>
        <w:spacing w:after="120" w:line="240" w:lineRule="auto"/>
        <w:contextualSpacing w:val="0"/>
        <w:rPr>
          <w:rFonts w:ascii="Arial" w:hAnsi="Arial" w:cs="Arial"/>
          <w:b/>
        </w:rPr>
      </w:pPr>
      <w:r w:rsidRPr="006017FB">
        <w:rPr>
          <w:rFonts w:ascii="Arial" w:hAnsi="Arial" w:cs="Arial"/>
          <w:b/>
        </w:rPr>
        <w:t>Strategic goal 2 -</w:t>
      </w:r>
      <w:r w:rsidRPr="006017FB">
        <w:rPr>
          <w:rFonts w:ascii="Arial" w:hAnsi="Arial" w:cs="Arial"/>
        </w:rPr>
        <w:t xml:space="preserve"> </w:t>
      </w:r>
      <w:r w:rsidR="00444713">
        <w:rPr>
          <w:rFonts w:ascii="Arial" w:hAnsi="Arial" w:cs="Arial"/>
          <w:b/>
        </w:rPr>
        <w:t>Inclusion</w:t>
      </w:r>
    </w:p>
    <w:p w14:paraId="4CF9717B" w14:textId="77777777" w:rsidR="0073768B" w:rsidRPr="006017FB" w:rsidRDefault="0073768B" w:rsidP="006017FB">
      <w:pPr>
        <w:spacing w:after="120" w:line="240" w:lineRule="auto"/>
        <w:ind w:left="360"/>
        <w:rPr>
          <w:rFonts w:ascii="Arial" w:hAnsi="Arial" w:cs="Arial"/>
        </w:rPr>
      </w:pPr>
      <w:r w:rsidRPr="006017FB">
        <w:rPr>
          <w:rFonts w:ascii="Arial" w:hAnsi="Arial" w:cs="Arial"/>
        </w:rPr>
        <w:t>To ensure</w:t>
      </w:r>
      <w:r w:rsidR="001E3A9E" w:rsidRPr="006017FB">
        <w:rPr>
          <w:rFonts w:ascii="Arial" w:hAnsi="Arial" w:cs="Arial"/>
        </w:rPr>
        <w:t xml:space="preserve"> the provision of </w:t>
      </w:r>
      <w:proofErr w:type="gramStart"/>
      <w:r w:rsidR="001E3A9E" w:rsidRPr="006017FB">
        <w:rPr>
          <w:rFonts w:ascii="Arial" w:hAnsi="Arial" w:cs="Arial"/>
        </w:rPr>
        <w:t>high quality</w:t>
      </w:r>
      <w:proofErr w:type="gramEnd"/>
      <w:r w:rsidR="001E3A9E" w:rsidRPr="006017FB">
        <w:rPr>
          <w:rFonts w:ascii="Arial" w:hAnsi="Arial" w:cs="Arial"/>
        </w:rPr>
        <w:t xml:space="preserve"> </w:t>
      </w:r>
      <w:r w:rsidR="00910B4A">
        <w:rPr>
          <w:rFonts w:ascii="Arial" w:hAnsi="Arial" w:cs="Arial"/>
        </w:rPr>
        <w:t>local</w:t>
      </w:r>
      <w:r w:rsidR="002C0D76">
        <w:rPr>
          <w:rFonts w:ascii="Arial" w:hAnsi="Arial" w:cs="Arial"/>
        </w:rPr>
        <w:t xml:space="preserve"> specialist and mainstream</w:t>
      </w:r>
      <w:r w:rsidR="00910B4A">
        <w:rPr>
          <w:rFonts w:ascii="Arial" w:hAnsi="Arial" w:cs="Arial"/>
        </w:rPr>
        <w:t xml:space="preserve"> </w:t>
      </w:r>
      <w:r w:rsidR="001E3A9E" w:rsidRPr="006017FB">
        <w:rPr>
          <w:rFonts w:ascii="Arial" w:hAnsi="Arial" w:cs="Arial"/>
        </w:rPr>
        <w:t>placements and support for c</w:t>
      </w:r>
      <w:r w:rsidRPr="006017FB">
        <w:rPr>
          <w:rFonts w:ascii="Arial" w:hAnsi="Arial" w:cs="Arial"/>
        </w:rPr>
        <w:t>hildren and young people with special educational</w:t>
      </w:r>
      <w:r w:rsidR="001E3A9E" w:rsidRPr="006017FB">
        <w:rPr>
          <w:rFonts w:ascii="Arial" w:hAnsi="Arial" w:cs="Arial"/>
        </w:rPr>
        <w:t xml:space="preserve"> needs and disabilities</w:t>
      </w:r>
      <w:r w:rsidR="00C17E4C">
        <w:rPr>
          <w:rFonts w:ascii="Arial" w:hAnsi="Arial" w:cs="Arial"/>
        </w:rPr>
        <w:t xml:space="preserve"> aged from 3 to 25</w:t>
      </w:r>
      <w:r w:rsidR="001E3A9E" w:rsidRPr="006017FB">
        <w:rPr>
          <w:rFonts w:ascii="Arial" w:hAnsi="Arial" w:cs="Arial"/>
        </w:rPr>
        <w:t>.</w:t>
      </w:r>
    </w:p>
    <w:p w14:paraId="18836064" w14:textId="77777777" w:rsidR="00BE521A" w:rsidRPr="006017FB" w:rsidRDefault="001E3A9E" w:rsidP="00A51784">
      <w:pPr>
        <w:pStyle w:val="ListParagraph"/>
        <w:numPr>
          <w:ilvl w:val="0"/>
          <w:numId w:val="3"/>
        </w:numPr>
        <w:spacing w:after="120" w:line="240" w:lineRule="auto"/>
        <w:contextualSpacing w:val="0"/>
        <w:rPr>
          <w:rFonts w:ascii="Arial" w:hAnsi="Arial" w:cs="Arial"/>
          <w:b/>
        </w:rPr>
      </w:pPr>
      <w:r w:rsidRPr="006017FB">
        <w:rPr>
          <w:rFonts w:ascii="Arial" w:hAnsi="Arial" w:cs="Arial"/>
          <w:b/>
        </w:rPr>
        <w:t xml:space="preserve">Strategic goal 3 </w:t>
      </w:r>
      <w:r w:rsidR="00444713">
        <w:rPr>
          <w:rFonts w:ascii="Arial" w:hAnsi="Arial" w:cs="Arial"/>
          <w:b/>
        </w:rPr>
        <w:t>–</w:t>
      </w:r>
      <w:r w:rsidRPr="006017FB">
        <w:rPr>
          <w:rFonts w:ascii="Arial" w:hAnsi="Arial" w:cs="Arial"/>
          <w:b/>
        </w:rPr>
        <w:t xml:space="preserve"> </w:t>
      </w:r>
      <w:r w:rsidR="00444713">
        <w:rPr>
          <w:rFonts w:ascii="Arial" w:hAnsi="Arial" w:cs="Arial"/>
          <w:b/>
        </w:rPr>
        <w:t xml:space="preserve">Achievement - </w:t>
      </w:r>
      <w:r w:rsidR="00BE521A" w:rsidRPr="006017FB">
        <w:rPr>
          <w:rFonts w:ascii="Arial" w:hAnsi="Arial" w:cs="Arial"/>
          <w:b/>
        </w:rPr>
        <w:t>School Improvement</w:t>
      </w:r>
    </w:p>
    <w:p w14:paraId="0315949A" w14:textId="77777777" w:rsidR="001E3A9E" w:rsidRPr="006017FB" w:rsidRDefault="001E3A9E" w:rsidP="006017FB">
      <w:pPr>
        <w:spacing w:after="120" w:line="240" w:lineRule="auto"/>
        <w:ind w:left="360"/>
        <w:rPr>
          <w:rFonts w:ascii="Arial" w:hAnsi="Arial" w:cs="Arial"/>
          <w:b/>
        </w:rPr>
      </w:pPr>
      <w:r w:rsidRPr="006017FB">
        <w:rPr>
          <w:rFonts w:ascii="Arial" w:hAnsi="Arial" w:cs="Arial"/>
        </w:rPr>
        <w:t>To ensure that every school is good or outstanding</w:t>
      </w:r>
      <w:r w:rsidR="00BE521A" w:rsidRPr="006017FB">
        <w:rPr>
          <w:rFonts w:ascii="Arial" w:hAnsi="Arial" w:cs="Arial"/>
        </w:rPr>
        <w:t>.</w:t>
      </w:r>
    </w:p>
    <w:p w14:paraId="6DF29B3A" w14:textId="77777777" w:rsidR="00BE521A" w:rsidRPr="006017FB" w:rsidRDefault="001E3A9E" w:rsidP="00A51784">
      <w:pPr>
        <w:pStyle w:val="ListParagraph"/>
        <w:numPr>
          <w:ilvl w:val="0"/>
          <w:numId w:val="3"/>
        </w:numPr>
        <w:spacing w:after="120" w:line="240" w:lineRule="auto"/>
        <w:contextualSpacing w:val="0"/>
        <w:rPr>
          <w:rFonts w:ascii="Arial" w:hAnsi="Arial" w:cs="Arial"/>
        </w:rPr>
      </w:pPr>
      <w:r w:rsidRPr="006017FB">
        <w:rPr>
          <w:rFonts w:ascii="Arial" w:hAnsi="Arial" w:cs="Arial"/>
          <w:b/>
        </w:rPr>
        <w:t>Strategic goal 4</w:t>
      </w:r>
      <w:r w:rsidRPr="006017FB">
        <w:rPr>
          <w:rFonts w:ascii="Arial" w:hAnsi="Arial" w:cs="Arial"/>
        </w:rPr>
        <w:t xml:space="preserve"> </w:t>
      </w:r>
      <w:r w:rsidR="00444713">
        <w:rPr>
          <w:rFonts w:ascii="Arial" w:hAnsi="Arial" w:cs="Arial"/>
          <w:b/>
        </w:rPr>
        <w:t>–</w:t>
      </w:r>
      <w:r w:rsidRPr="006017FB">
        <w:rPr>
          <w:rFonts w:ascii="Arial" w:hAnsi="Arial" w:cs="Arial"/>
          <w:b/>
        </w:rPr>
        <w:t xml:space="preserve"> </w:t>
      </w:r>
      <w:r w:rsidR="00444713">
        <w:rPr>
          <w:rFonts w:ascii="Arial" w:hAnsi="Arial" w:cs="Arial"/>
          <w:b/>
        </w:rPr>
        <w:t xml:space="preserve">Achievement - </w:t>
      </w:r>
      <w:r w:rsidR="00BE521A" w:rsidRPr="006017FB">
        <w:rPr>
          <w:rFonts w:ascii="Arial" w:hAnsi="Arial" w:cs="Arial"/>
          <w:b/>
        </w:rPr>
        <w:t>Educational outcomes</w:t>
      </w:r>
    </w:p>
    <w:p w14:paraId="0F3A04A0" w14:textId="77777777" w:rsidR="001E3A9E" w:rsidRPr="006017FB" w:rsidRDefault="00BE521A" w:rsidP="006017FB">
      <w:pPr>
        <w:spacing w:after="120" w:line="240" w:lineRule="auto"/>
        <w:ind w:left="360"/>
        <w:rPr>
          <w:rFonts w:ascii="Arial" w:hAnsi="Arial" w:cs="Arial"/>
        </w:rPr>
      </w:pPr>
      <w:r w:rsidRPr="006017FB">
        <w:rPr>
          <w:rFonts w:ascii="Arial" w:hAnsi="Arial" w:cs="Arial"/>
        </w:rPr>
        <w:t>T</w:t>
      </w:r>
      <w:r w:rsidR="001E3A9E" w:rsidRPr="006017FB">
        <w:rPr>
          <w:rFonts w:ascii="Arial" w:hAnsi="Arial" w:cs="Arial"/>
        </w:rPr>
        <w:t>o improve the educational progress and outcomes for all children and young people across all phases and types of institution</w:t>
      </w:r>
      <w:r w:rsidR="00EA400A">
        <w:rPr>
          <w:rFonts w:ascii="Arial" w:hAnsi="Arial" w:cs="Arial"/>
        </w:rPr>
        <w:t xml:space="preserve"> from early years to post-16</w:t>
      </w:r>
      <w:r w:rsidR="00732733">
        <w:rPr>
          <w:rFonts w:ascii="Arial" w:hAnsi="Arial" w:cs="Arial"/>
        </w:rPr>
        <w:t>, including p</w:t>
      </w:r>
      <w:r w:rsidR="00732733" w:rsidRPr="00732733">
        <w:rPr>
          <w:rFonts w:ascii="Arial" w:hAnsi="Arial" w:cs="Arial"/>
        </w:rPr>
        <w:t>rogress into Higher Education, Apprenticeship</w:t>
      </w:r>
      <w:r w:rsidR="00732733">
        <w:rPr>
          <w:rFonts w:ascii="Arial" w:hAnsi="Arial" w:cs="Arial"/>
        </w:rPr>
        <w:t>s</w:t>
      </w:r>
      <w:r w:rsidR="00732733" w:rsidRPr="00732733">
        <w:rPr>
          <w:rFonts w:ascii="Arial" w:hAnsi="Arial" w:cs="Arial"/>
        </w:rPr>
        <w:t xml:space="preserve"> o</w:t>
      </w:r>
      <w:r w:rsidR="00732733">
        <w:rPr>
          <w:rFonts w:ascii="Arial" w:hAnsi="Arial" w:cs="Arial"/>
        </w:rPr>
        <w:t>r</w:t>
      </w:r>
      <w:r w:rsidR="00732733" w:rsidRPr="00732733">
        <w:rPr>
          <w:rFonts w:ascii="Arial" w:hAnsi="Arial" w:cs="Arial"/>
        </w:rPr>
        <w:t xml:space="preserve"> </w:t>
      </w:r>
      <w:r w:rsidR="00732733">
        <w:rPr>
          <w:rFonts w:ascii="Arial" w:hAnsi="Arial" w:cs="Arial"/>
        </w:rPr>
        <w:t>e</w:t>
      </w:r>
      <w:r w:rsidR="00732733" w:rsidRPr="00732733">
        <w:rPr>
          <w:rFonts w:ascii="Arial" w:hAnsi="Arial" w:cs="Arial"/>
        </w:rPr>
        <w:t>mployment.</w:t>
      </w:r>
    </w:p>
    <w:p w14:paraId="3FD01E9B" w14:textId="77777777" w:rsidR="00BE521A" w:rsidRPr="006017FB" w:rsidRDefault="001E3A9E" w:rsidP="00A51784">
      <w:pPr>
        <w:pStyle w:val="ListParagraph"/>
        <w:numPr>
          <w:ilvl w:val="0"/>
          <w:numId w:val="3"/>
        </w:numPr>
        <w:spacing w:after="120" w:line="240" w:lineRule="auto"/>
        <w:contextualSpacing w:val="0"/>
        <w:rPr>
          <w:rFonts w:ascii="Arial" w:hAnsi="Arial" w:cs="Arial"/>
          <w:b/>
        </w:rPr>
      </w:pPr>
      <w:r w:rsidRPr="006017FB">
        <w:rPr>
          <w:rFonts w:ascii="Arial" w:hAnsi="Arial" w:cs="Arial"/>
          <w:b/>
        </w:rPr>
        <w:t xml:space="preserve">Strategic goal 5 </w:t>
      </w:r>
      <w:r w:rsidR="00444713">
        <w:rPr>
          <w:rFonts w:ascii="Arial" w:hAnsi="Arial" w:cs="Arial"/>
          <w:b/>
        </w:rPr>
        <w:t>–</w:t>
      </w:r>
      <w:r w:rsidR="00BE521A" w:rsidRPr="006017FB">
        <w:rPr>
          <w:rFonts w:ascii="Arial" w:hAnsi="Arial" w:cs="Arial"/>
          <w:b/>
        </w:rPr>
        <w:t xml:space="preserve"> </w:t>
      </w:r>
      <w:r w:rsidR="00444713">
        <w:rPr>
          <w:rFonts w:ascii="Arial" w:hAnsi="Arial" w:cs="Arial"/>
          <w:b/>
        </w:rPr>
        <w:t xml:space="preserve">Achievement and Inclusion - </w:t>
      </w:r>
      <w:r w:rsidR="00BE521A" w:rsidRPr="006017FB">
        <w:rPr>
          <w:rFonts w:ascii="Arial" w:hAnsi="Arial" w:cs="Arial"/>
          <w:b/>
        </w:rPr>
        <w:t>Closing the gap</w:t>
      </w:r>
      <w:r w:rsidRPr="006017FB">
        <w:rPr>
          <w:rFonts w:ascii="Arial" w:hAnsi="Arial" w:cs="Arial"/>
          <w:b/>
        </w:rPr>
        <w:t xml:space="preserve"> </w:t>
      </w:r>
      <w:r w:rsidR="00BE521A" w:rsidRPr="006017FB">
        <w:rPr>
          <w:rFonts w:ascii="Arial" w:hAnsi="Arial" w:cs="Arial"/>
          <w:b/>
        </w:rPr>
        <w:t>and building resilience</w:t>
      </w:r>
    </w:p>
    <w:p w14:paraId="2E32E7CB" w14:textId="77777777" w:rsidR="00BE521A" w:rsidRPr="006017FB" w:rsidRDefault="00BE521A" w:rsidP="006017FB">
      <w:pPr>
        <w:spacing w:after="120" w:line="240" w:lineRule="auto"/>
        <w:ind w:left="360"/>
        <w:rPr>
          <w:rFonts w:ascii="Arial" w:hAnsi="Arial" w:cs="Arial"/>
        </w:rPr>
      </w:pPr>
      <w:r w:rsidRPr="006017FB">
        <w:rPr>
          <w:rFonts w:ascii="Arial" w:hAnsi="Arial" w:cs="Arial"/>
        </w:rPr>
        <w:t xml:space="preserve">To close </w:t>
      </w:r>
      <w:r w:rsidR="00C17E4C">
        <w:rPr>
          <w:rFonts w:ascii="Arial" w:hAnsi="Arial" w:cs="Arial"/>
        </w:rPr>
        <w:t xml:space="preserve">the gap </w:t>
      </w:r>
      <w:r w:rsidRPr="006017FB">
        <w:rPr>
          <w:rFonts w:ascii="Arial" w:hAnsi="Arial" w:cs="Arial"/>
        </w:rPr>
        <w:t xml:space="preserve">in attainment and progress between the most disadvantaged and vulnerable pupils and their peers by accelerating </w:t>
      </w:r>
      <w:r w:rsidR="00C17E4C">
        <w:rPr>
          <w:rFonts w:ascii="Arial" w:hAnsi="Arial" w:cs="Arial"/>
        </w:rPr>
        <w:t xml:space="preserve">their </w:t>
      </w:r>
      <w:r w:rsidRPr="006017FB">
        <w:rPr>
          <w:rFonts w:ascii="Arial" w:hAnsi="Arial" w:cs="Arial"/>
        </w:rPr>
        <w:t>progress and building resilience.</w:t>
      </w:r>
    </w:p>
    <w:p w14:paraId="71F31529" w14:textId="77777777" w:rsidR="00EA400A" w:rsidRDefault="00EA400A" w:rsidP="00395B93">
      <w:pPr>
        <w:spacing w:before="240" w:after="120" w:line="240" w:lineRule="auto"/>
        <w:rPr>
          <w:rFonts w:ascii="Arial" w:hAnsi="Arial" w:cs="Arial"/>
          <w:b/>
        </w:rPr>
      </w:pPr>
      <w:r>
        <w:rPr>
          <w:rFonts w:ascii="Arial" w:hAnsi="Arial" w:cs="Arial"/>
          <w:b/>
        </w:rPr>
        <w:t>Key drivers – how will we seek to achieve these strategic goals</w:t>
      </w:r>
    </w:p>
    <w:p w14:paraId="157FAB80" w14:textId="77777777" w:rsidR="00EA400A" w:rsidRDefault="00EA400A" w:rsidP="00395B93">
      <w:pPr>
        <w:spacing w:before="240" w:after="120" w:line="240" w:lineRule="auto"/>
        <w:rPr>
          <w:rFonts w:ascii="Arial" w:hAnsi="Arial" w:cs="Arial"/>
        </w:rPr>
      </w:pPr>
      <w:r>
        <w:rPr>
          <w:rFonts w:ascii="Arial" w:hAnsi="Arial" w:cs="Arial"/>
        </w:rPr>
        <w:t>Detailed plans will be set out in separate strategies for school places, SEN and school improvement but some of the key drivers for achieving these goals are:</w:t>
      </w:r>
    </w:p>
    <w:p w14:paraId="5DE30CAA" w14:textId="77777777" w:rsidR="00B31DB4" w:rsidRPr="00AF2F44" w:rsidRDefault="00B31DB4" w:rsidP="00B31DB4">
      <w:pPr>
        <w:spacing w:after="120" w:line="240" w:lineRule="auto"/>
        <w:rPr>
          <w:rFonts w:ascii="Arial" w:hAnsi="Arial" w:cs="Arial"/>
          <w:b/>
        </w:rPr>
      </w:pPr>
      <w:r w:rsidRPr="00AF2F44">
        <w:rPr>
          <w:rFonts w:ascii="Arial" w:hAnsi="Arial" w:cs="Arial"/>
          <w:b/>
        </w:rPr>
        <w:t>Access</w:t>
      </w:r>
    </w:p>
    <w:p w14:paraId="6A69B451" w14:textId="77777777" w:rsidR="00B31DB4" w:rsidRDefault="00B31DB4" w:rsidP="00A51784">
      <w:pPr>
        <w:pStyle w:val="ListParagraph"/>
        <w:numPr>
          <w:ilvl w:val="0"/>
          <w:numId w:val="3"/>
        </w:numPr>
        <w:spacing w:after="120" w:line="240" w:lineRule="auto"/>
        <w:ind w:left="357" w:hanging="357"/>
        <w:contextualSpacing w:val="0"/>
        <w:rPr>
          <w:rFonts w:ascii="Arial" w:hAnsi="Arial" w:cs="Arial"/>
        </w:rPr>
      </w:pPr>
      <w:r>
        <w:rPr>
          <w:rFonts w:ascii="Arial" w:hAnsi="Arial" w:cs="Arial"/>
        </w:rPr>
        <w:t>Partnership working with schools to identify the best locations for school expansions and bulge classes</w:t>
      </w:r>
    </w:p>
    <w:p w14:paraId="74376A1A" w14:textId="77777777" w:rsidR="00B31DB4" w:rsidRDefault="00B31DB4" w:rsidP="00A51784">
      <w:pPr>
        <w:pStyle w:val="ListParagraph"/>
        <w:numPr>
          <w:ilvl w:val="0"/>
          <w:numId w:val="3"/>
        </w:numPr>
        <w:spacing w:after="120" w:line="240" w:lineRule="auto"/>
        <w:ind w:left="357" w:hanging="357"/>
        <w:contextualSpacing w:val="0"/>
        <w:rPr>
          <w:rFonts w:ascii="Arial" w:hAnsi="Arial" w:cs="Arial"/>
        </w:rPr>
      </w:pPr>
      <w:r>
        <w:rPr>
          <w:rFonts w:ascii="Arial" w:hAnsi="Arial" w:cs="Arial"/>
        </w:rPr>
        <w:t>Close liaison with the DfE, the E</w:t>
      </w:r>
      <w:r w:rsidR="00A67B4C">
        <w:rPr>
          <w:rFonts w:ascii="Arial" w:hAnsi="Arial" w:cs="Arial"/>
        </w:rPr>
        <w:t>S</w:t>
      </w:r>
      <w:r>
        <w:rPr>
          <w:rFonts w:ascii="Arial" w:hAnsi="Arial" w:cs="Arial"/>
        </w:rPr>
        <w:t>FA, the Regional Schools Commissioner and potential sponsors of Free Schools to secure additional Free Schools where they are needed and when they are needed</w:t>
      </w:r>
    </w:p>
    <w:p w14:paraId="0CEE701E" w14:textId="77777777" w:rsidR="00B31DB4" w:rsidRDefault="00B31DB4" w:rsidP="00A51784">
      <w:pPr>
        <w:pStyle w:val="ListParagraph"/>
        <w:numPr>
          <w:ilvl w:val="0"/>
          <w:numId w:val="3"/>
        </w:numPr>
        <w:spacing w:after="120" w:line="240" w:lineRule="auto"/>
        <w:ind w:left="357" w:hanging="357"/>
        <w:contextualSpacing w:val="0"/>
        <w:rPr>
          <w:rFonts w:ascii="Arial" w:hAnsi="Arial" w:cs="Arial"/>
        </w:rPr>
      </w:pPr>
      <w:r>
        <w:rPr>
          <w:rFonts w:ascii="Arial" w:hAnsi="Arial" w:cs="Arial"/>
        </w:rPr>
        <w:t>Partnership with schools, including Special Schools</w:t>
      </w:r>
      <w:r w:rsidR="00202E3D">
        <w:rPr>
          <w:rFonts w:ascii="Arial" w:hAnsi="Arial" w:cs="Arial"/>
        </w:rPr>
        <w:t xml:space="preserve"> and schools with</w:t>
      </w:r>
      <w:r w:rsidR="00E06442">
        <w:rPr>
          <w:rFonts w:ascii="Arial" w:hAnsi="Arial" w:cs="Arial"/>
        </w:rPr>
        <w:t xml:space="preserve"> Additional Resource Provision (ARPs)</w:t>
      </w:r>
      <w:r>
        <w:rPr>
          <w:rFonts w:ascii="Arial" w:hAnsi="Arial" w:cs="Arial"/>
        </w:rPr>
        <w:t xml:space="preserve">and PRUs, and with post-16 providers to ensure we can offer </w:t>
      </w:r>
      <w:r w:rsidR="00DC660B">
        <w:rPr>
          <w:rFonts w:ascii="Arial" w:hAnsi="Arial" w:cs="Arial"/>
        </w:rPr>
        <w:t xml:space="preserve">high quality </w:t>
      </w:r>
      <w:r>
        <w:rPr>
          <w:rFonts w:ascii="Arial" w:hAnsi="Arial" w:cs="Arial"/>
        </w:rPr>
        <w:t>local specialist places to children and young people with SEND who need them</w:t>
      </w:r>
      <w:r w:rsidR="00DC660B">
        <w:rPr>
          <w:rFonts w:ascii="Arial" w:hAnsi="Arial" w:cs="Arial"/>
        </w:rPr>
        <w:t xml:space="preserve"> and to those in need of Alternative Provision</w:t>
      </w:r>
    </w:p>
    <w:p w14:paraId="324FEE5D" w14:textId="77777777" w:rsidR="00B31DB4" w:rsidRPr="00AF2F44" w:rsidRDefault="00B31DB4" w:rsidP="00A51784">
      <w:pPr>
        <w:pStyle w:val="ListParagraph"/>
        <w:numPr>
          <w:ilvl w:val="0"/>
          <w:numId w:val="3"/>
        </w:numPr>
        <w:spacing w:after="120" w:line="240" w:lineRule="auto"/>
        <w:ind w:left="357" w:hanging="357"/>
        <w:contextualSpacing w:val="0"/>
        <w:rPr>
          <w:rFonts w:ascii="Arial" w:hAnsi="Arial" w:cs="Arial"/>
        </w:rPr>
      </w:pPr>
      <w:r>
        <w:rPr>
          <w:rFonts w:ascii="Arial" w:hAnsi="Arial" w:cs="Arial"/>
        </w:rPr>
        <w:t>Keeping the financial sustainability of schools and groups of schools under review and working in partnership with schools to identify possible new school organisation or governance models</w:t>
      </w:r>
      <w:r w:rsidR="001045DD">
        <w:rPr>
          <w:rFonts w:ascii="Arial" w:hAnsi="Arial" w:cs="Arial"/>
        </w:rPr>
        <w:t>, where needed</w:t>
      </w:r>
      <w:r>
        <w:rPr>
          <w:rFonts w:ascii="Arial" w:hAnsi="Arial" w:cs="Arial"/>
        </w:rPr>
        <w:t xml:space="preserve"> to ensure ongoing financial resilience.</w:t>
      </w:r>
    </w:p>
    <w:p w14:paraId="3F7839DB" w14:textId="77777777" w:rsidR="00B31DB4" w:rsidRDefault="00B31DB4" w:rsidP="001045DD">
      <w:pPr>
        <w:tabs>
          <w:tab w:val="center" w:pos="4513"/>
        </w:tabs>
        <w:spacing w:after="120" w:line="240" w:lineRule="auto"/>
        <w:rPr>
          <w:rFonts w:ascii="Arial" w:hAnsi="Arial" w:cs="Arial"/>
          <w:b/>
        </w:rPr>
      </w:pPr>
      <w:r>
        <w:rPr>
          <w:rFonts w:ascii="Arial" w:hAnsi="Arial" w:cs="Arial"/>
          <w:b/>
        </w:rPr>
        <w:t>Inclusion</w:t>
      </w:r>
      <w:r w:rsidR="001045DD">
        <w:rPr>
          <w:rFonts w:ascii="Arial" w:hAnsi="Arial" w:cs="Arial"/>
          <w:b/>
        </w:rPr>
        <w:tab/>
      </w:r>
    </w:p>
    <w:p w14:paraId="025058C2" w14:textId="77777777" w:rsidR="00B31DB4" w:rsidRPr="00291D7E" w:rsidRDefault="00B31DB4" w:rsidP="00A51784">
      <w:pPr>
        <w:pStyle w:val="ListParagraph"/>
        <w:numPr>
          <w:ilvl w:val="0"/>
          <w:numId w:val="7"/>
        </w:numPr>
        <w:spacing w:after="120"/>
        <w:ind w:left="357" w:hanging="357"/>
        <w:contextualSpacing w:val="0"/>
        <w:rPr>
          <w:rFonts w:ascii="Arial" w:hAnsi="Arial" w:cs="Arial"/>
        </w:rPr>
      </w:pPr>
      <w:r w:rsidRPr="00291D7E">
        <w:rPr>
          <w:rFonts w:ascii="Arial" w:hAnsi="Arial" w:cs="Arial"/>
        </w:rPr>
        <w:t xml:space="preserve">Increased focus on </w:t>
      </w:r>
      <w:r w:rsidR="00E06442">
        <w:rPr>
          <w:rFonts w:ascii="Arial" w:hAnsi="Arial" w:cs="Arial"/>
        </w:rPr>
        <w:t xml:space="preserve">outcomes and </w:t>
      </w:r>
      <w:r w:rsidRPr="00291D7E">
        <w:rPr>
          <w:rFonts w:ascii="Arial" w:hAnsi="Arial" w:cs="Arial"/>
        </w:rPr>
        <w:t>the quality of Education, Health and Care Plans with greater co-production with schools, parents and children and young people.</w:t>
      </w:r>
    </w:p>
    <w:p w14:paraId="5F69C7EB" w14:textId="77777777" w:rsidR="00B31DB4" w:rsidRPr="00291D7E" w:rsidRDefault="00B31DB4" w:rsidP="00A51784">
      <w:pPr>
        <w:pStyle w:val="ListParagraph"/>
        <w:numPr>
          <w:ilvl w:val="0"/>
          <w:numId w:val="7"/>
        </w:numPr>
        <w:spacing w:after="120" w:line="240" w:lineRule="auto"/>
        <w:ind w:left="357" w:hanging="357"/>
        <w:contextualSpacing w:val="0"/>
        <w:rPr>
          <w:rFonts w:ascii="Arial" w:hAnsi="Arial" w:cs="Arial"/>
        </w:rPr>
      </w:pPr>
      <w:r w:rsidRPr="00291D7E">
        <w:rPr>
          <w:rFonts w:ascii="Arial" w:hAnsi="Arial" w:cs="Arial"/>
        </w:rPr>
        <w:t>Improvements in the consistency and quality of</w:t>
      </w:r>
      <w:r w:rsidR="00E06442">
        <w:rPr>
          <w:rFonts w:ascii="Arial" w:hAnsi="Arial" w:cs="Arial"/>
        </w:rPr>
        <w:t xml:space="preserve"> provision for pupils whose needs can be met at</w:t>
      </w:r>
      <w:r w:rsidRPr="00291D7E">
        <w:rPr>
          <w:rFonts w:ascii="Arial" w:hAnsi="Arial" w:cs="Arial"/>
        </w:rPr>
        <w:t xml:space="preserve"> SEN Support.</w:t>
      </w:r>
    </w:p>
    <w:p w14:paraId="78275A1D" w14:textId="77777777" w:rsidR="00B31DB4" w:rsidRPr="00291D7E" w:rsidRDefault="00B31DB4" w:rsidP="00A51784">
      <w:pPr>
        <w:pStyle w:val="ListParagraph"/>
        <w:numPr>
          <w:ilvl w:val="0"/>
          <w:numId w:val="7"/>
        </w:numPr>
        <w:spacing w:after="120" w:line="240" w:lineRule="auto"/>
        <w:ind w:left="357" w:hanging="357"/>
        <w:contextualSpacing w:val="0"/>
        <w:rPr>
          <w:rFonts w:ascii="Arial" w:hAnsi="Arial" w:cs="Arial"/>
        </w:rPr>
      </w:pPr>
      <w:r w:rsidRPr="00291D7E">
        <w:rPr>
          <w:rFonts w:ascii="Arial" w:hAnsi="Arial" w:cs="Arial"/>
        </w:rPr>
        <w:t xml:space="preserve">Improvements in the integration of processes </w:t>
      </w:r>
      <w:r w:rsidR="00E06442">
        <w:rPr>
          <w:rFonts w:ascii="Arial" w:hAnsi="Arial" w:cs="Arial"/>
        </w:rPr>
        <w:t xml:space="preserve">and provision </w:t>
      </w:r>
      <w:r w:rsidRPr="00291D7E">
        <w:rPr>
          <w:rFonts w:ascii="Arial" w:hAnsi="Arial" w:cs="Arial"/>
        </w:rPr>
        <w:t xml:space="preserve">across education, social care and health. </w:t>
      </w:r>
    </w:p>
    <w:p w14:paraId="18B8EFEA" w14:textId="77777777" w:rsidR="00B31DB4" w:rsidRDefault="00B31DB4" w:rsidP="00A51784">
      <w:pPr>
        <w:pStyle w:val="ListParagraph"/>
        <w:numPr>
          <w:ilvl w:val="0"/>
          <w:numId w:val="7"/>
        </w:numPr>
        <w:spacing w:after="120" w:line="240" w:lineRule="auto"/>
        <w:ind w:left="357" w:hanging="357"/>
        <w:contextualSpacing w:val="0"/>
        <w:rPr>
          <w:rFonts w:ascii="Arial" w:hAnsi="Arial" w:cs="Arial"/>
        </w:rPr>
      </w:pPr>
      <w:r w:rsidRPr="00291D7E">
        <w:rPr>
          <w:rFonts w:ascii="Arial" w:hAnsi="Arial" w:cs="Arial"/>
        </w:rPr>
        <w:t xml:space="preserve">Improved tracking and planning for </w:t>
      </w:r>
      <w:bookmarkStart w:id="0" w:name="_GoBack"/>
      <w:r w:rsidRPr="00291D7E">
        <w:rPr>
          <w:rFonts w:ascii="Arial" w:hAnsi="Arial" w:cs="Arial"/>
        </w:rPr>
        <w:t>post-16</w:t>
      </w:r>
      <w:bookmarkEnd w:id="0"/>
      <w:r w:rsidRPr="00291D7E">
        <w:rPr>
          <w:rFonts w:ascii="Arial" w:hAnsi="Arial" w:cs="Arial"/>
        </w:rPr>
        <w:t xml:space="preserve"> young people with SEN and an earlier focus on preparation for adulthood.</w:t>
      </w:r>
    </w:p>
    <w:p w14:paraId="09D8B4B6" w14:textId="77777777" w:rsidR="008F52CA" w:rsidRPr="00440657" w:rsidRDefault="00632C6F" w:rsidP="00A51784">
      <w:pPr>
        <w:pStyle w:val="ListParagraph"/>
        <w:numPr>
          <w:ilvl w:val="0"/>
          <w:numId w:val="7"/>
        </w:numPr>
        <w:spacing w:after="120" w:line="240" w:lineRule="auto"/>
        <w:contextualSpacing w:val="0"/>
        <w:rPr>
          <w:rFonts w:ascii="Arial" w:hAnsi="Arial" w:cs="Arial"/>
          <w:b/>
        </w:rPr>
      </w:pPr>
      <w:r w:rsidRPr="008F52CA">
        <w:rPr>
          <w:rFonts w:ascii="Arial" w:hAnsi="Arial" w:cs="Arial"/>
        </w:rPr>
        <w:t xml:space="preserve">A focus on building resilience in children and young people </w:t>
      </w:r>
      <w:r w:rsidR="00C931F2" w:rsidRPr="008F52CA">
        <w:rPr>
          <w:rFonts w:ascii="Arial" w:hAnsi="Arial" w:cs="Arial"/>
        </w:rPr>
        <w:t xml:space="preserve">with SEND </w:t>
      </w:r>
      <w:r w:rsidR="00AD0FA9">
        <w:rPr>
          <w:rFonts w:ascii="Arial" w:hAnsi="Arial" w:cs="Arial"/>
        </w:rPr>
        <w:t xml:space="preserve">and those in Alternative Provisions </w:t>
      </w:r>
      <w:r w:rsidR="00C931F2" w:rsidRPr="008F52CA">
        <w:rPr>
          <w:rFonts w:ascii="Arial" w:hAnsi="Arial" w:cs="Arial"/>
        </w:rPr>
        <w:t>and their families</w:t>
      </w:r>
      <w:r w:rsidRPr="008F52CA">
        <w:rPr>
          <w:rFonts w:ascii="Arial" w:hAnsi="Arial" w:cs="Arial"/>
        </w:rPr>
        <w:t>.</w:t>
      </w:r>
    </w:p>
    <w:p w14:paraId="59994F48" w14:textId="77777777" w:rsidR="00F4716C" w:rsidRPr="00440657" w:rsidRDefault="00F4716C" w:rsidP="00A51784">
      <w:pPr>
        <w:pStyle w:val="ListParagraph"/>
        <w:numPr>
          <w:ilvl w:val="0"/>
          <w:numId w:val="7"/>
        </w:numPr>
        <w:spacing w:after="120" w:line="240" w:lineRule="auto"/>
        <w:ind w:left="357" w:hanging="357"/>
        <w:contextualSpacing w:val="0"/>
        <w:rPr>
          <w:rFonts w:ascii="Arial" w:hAnsi="Arial" w:cs="Arial"/>
          <w:b/>
        </w:rPr>
      </w:pPr>
      <w:r>
        <w:rPr>
          <w:rFonts w:ascii="Arial" w:hAnsi="Arial" w:cs="Arial"/>
        </w:rPr>
        <w:t>Continuing to identify those at risk of becoming NEET and supporting them to make a successful transition</w:t>
      </w:r>
      <w:r w:rsidR="00230A29">
        <w:rPr>
          <w:rFonts w:ascii="Arial" w:hAnsi="Arial" w:cs="Arial"/>
        </w:rPr>
        <w:t>.</w:t>
      </w:r>
      <w:r>
        <w:rPr>
          <w:rFonts w:ascii="Arial" w:hAnsi="Arial" w:cs="Arial"/>
        </w:rPr>
        <w:t xml:space="preserve">  </w:t>
      </w:r>
    </w:p>
    <w:p w14:paraId="69835A97" w14:textId="77777777" w:rsidR="00B31DB4" w:rsidRPr="008F52CA" w:rsidRDefault="00B31DB4" w:rsidP="008F52CA">
      <w:pPr>
        <w:spacing w:after="120" w:line="240" w:lineRule="auto"/>
        <w:rPr>
          <w:rFonts w:ascii="Arial" w:hAnsi="Arial" w:cs="Arial"/>
          <w:b/>
        </w:rPr>
      </w:pPr>
      <w:r w:rsidRPr="008F52CA">
        <w:rPr>
          <w:rFonts w:ascii="Arial" w:hAnsi="Arial" w:cs="Arial"/>
          <w:b/>
        </w:rPr>
        <w:t>Achievement</w:t>
      </w:r>
    </w:p>
    <w:p w14:paraId="6F374019" w14:textId="77777777" w:rsidR="00A67B4C" w:rsidRDefault="00D70CB5" w:rsidP="00A51784">
      <w:pPr>
        <w:pStyle w:val="ListParagraph"/>
        <w:numPr>
          <w:ilvl w:val="0"/>
          <w:numId w:val="8"/>
        </w:numPr>
        <w:spacing w:after="120" w:line="240" w:lineRule="auto"/>
        <w:contextualSpacing w:val="0"/>
        <w:rPr>
          <w:rFonts w:ascii="Arial" w:hAnsi="Arial" w:cs="Arial"/>
        </w:rPr>
      </w:pPr>
      <w:r w:rsidRPr="00D70CB5">
        <w:rPr>
          <w:rFonts w:ascii="Arial" w:hAnsi="Arial" w:cs="Arial"/>
        </w:rPr>
        <w:t>Maintaining a core Learning Network Inspector service to monitor and challenge, and, where necessary, intervene in, maintained schools, whilst keeping in touch with Academies. If necessary, LNI support services will be offered as a traded service to schools.</w:t>
      </w:r>
    </w:p>
    <w:p w14:paraId="35A2F8D7" w14:textId="77777777" w:rsidR="00A67B4C" w:rsidRPr="00A67B4C" w:rsidRDefault="00A67B4C" w:rsidP="00A51784">
      <w:pPr>
        <w:pStyle w:val="ListParagraph"/>
        <w:numPr>
          <w:ilvl w:val="0"/>
          <w:numId w:val="8"/>
        </w:numPr>
        <w:spacing w:after="120" w:line="240" w:lineRule="auto"/>
        <w:contextualSpacing w:val="0"/>
        <w:rPr>
          <w:rFonts w:ascii="Arial" w:hAnsi="Arial" w:cs="Arial"/>
        </w:rPr>
      </w:pPr>
      <w:r w:rsidRPr="00A67B4C">
        <w:rPr>
          <w:rFonts w:ascii="Arial" w:hAnsi="Arial" w:cs="Arial"/>
        </w:rPr>
        <w:t>The continuing development of quality traded services in order to support school improvement.</w:t>
      </w:r>
    </w:p>
    <w:p w14:paraId="48313063" w14:textId="77777777" w:rsidR="00B31DB4" w:rsidRDefault="00B31DB4" w:rsidP="00A51784">
      <w:pPr>
        <w:pStyle w:val="ListParagraph"/>
        <w:numPr>
          <w:ilvl w:val="0"/>
          <w:numId w:val="8"/>
        </w:numPr>
        <w:spacing w:after="120" w:line="240" w:lineRule="auto"/>
        <w:contextualSpacing w:val="0"/>
        <w:rPr>
          <w:rFonts w:ascii="Arial" w:hAnsi="Arial" w:cs="Arial"/>
        </w:rPr>
      </w:pPr>
      <w:r>
        <w:rPr>
          <w:rFonts w:ascii="Arial" w:hAnsi="Arial" w:cs="Arial"/>
        </w:rPr>
        <w:t>Building on the work of School Improvement Partnerships and Teaching Schools</w:t>
      </w:r>
      <w:r w:rsidR="00D70CB5">
        <w:rPr>
          <w:rFonts w:ascii="Arial" w:hAnsi="Arial" w:cs="Arial"/>
        </w:rPr>
        <w:t>.</w:t>
      </w:r>
    </w:p>
    <w:p w14:paraId="221A2F77" w14:textId="77777777" w:rsidR="00A67B4C" w:rsidRDefault="00A67B4C" w:rsidP="00A51784">
      <w:pPr>
        <w:pStyle w:val="ListParagraph"/>
        <w:numPr>
          <w:ilvl w:val="0"/>
          <w:numId w:val="8"/>
        </w:numPr>
        <w:spacing w:after="120" w:line="240" w:lineRule="auto"/>
        <w:contextualSpacing w:val="0"/>
        <w:rPr>
          <w:rFonts w:ascii="Arial" w:hAnsi="Arial" w:cs="Arial"/>
        </w:rPr>
      </w:pPr>
      <w:r>
        <w:rPr>
          <w:rFonts w:ascii="Arial" w:hAnsi="Arial" w:cs="Arial"/>
        </w:rPr>
        <w:t xml:space="preserve">Working with schools on strategies for recruiting and retaining the best teachers and headteachers. This includes supporting governing bodies with the recruitment of new headteachers/principals and supporting headteachers with the recruitment of deputy headteachers/vice principals. </w:t>
      </w:r>
    </w:p>
    <w:p w14:paraId="619BB87A" w14:textId="77777777" w:rsidR="00B31DB4" w:rsidRDefault="00B31DB4" w:rsidP="00A51784">
      <w:pPr>
        <w:pStyle w:val="ListParagraph"/>
        <w:numPr>
          <w:ilvl w:val="0"/>
          <w:numId w:val="8"/>
        </w:numPr>
        <w:spacing w:after="120" w:line="240" w:lineRule="auto"/>
        <w:contextualSpacing w:val="0"/>
        <w:rPr>
          <w:rFonts w:ascii="Arial" w:hAnsi="Arial" w:cs="Arial"/>
        </w:rPr>
      </w:pPr>
      <w:r>
        <w:rPr>
          <w:rFonts w:ascii="Arial" w:hAnsi="Arial" w:cs="Arial"/>
        </w:rPr>
        <w:t>Focus on good leadership and governance</w:t>
      </w:r>
    </w:p>
    <w:p w14:paraId="2E010EC4" w14:textId="77777777" w:rsidR="00B31DB4" w:rsidRDefault="00B31DB4" w:rsidP="00A51784">
      <w:pPr>
        <w:pStyle w:val="ListParagraph"/>
        <w:numPr>
          <w:ilvl w:val="0"/>
          <w:numId w:val="8"/>
        </w:numPr>
        <w:spacing w:after="120" w:line="240" w:lineRule="auto"/>
        <w:contextualSpacing w:val="0"/>
        <w:rPr>
          <w:rFonts w:ascii="Arial" w:hAnsi="Arial" w:cs="Arial"/>
        </w:rPr>
      </w:pPr>
      <w:r>
        <w:rPr>
          <w:rFonts w:ascii="Arial" w:hAnsi="Arial" w:cs="Arial"/>
        </w:rPr>
        <w:t>Active promotion of good behaviour and good safeguarding practices</w:t>
      </w:r>
    </w:p>
    <w:p w14:paraId="79A04500" w14:textId="77777777" w:rsidR="00B31DB4" w:rsidRDefault="00B31DB4" w:rsidP="00A51784">
      <w:pPr>
        <w:pStyle w:val="ListParagraph"/>
        <w:numPr>
          <w:ilvl w:val="0"/>
          <w:numId w:val="8"/>
        </w:numPr>
        <w:spacing w:after="120" w:line="240" w:lineRule="auto"/>
        <w:contextualSpacing w:val="0"/>
        <w:rPr>
          <w:rFonts w:ascii="Arial" w:hAnsi="Arial" w:cs="Arial"/>
        </w:rPr>
      </w:pPr>
      <w:r>
        <w:rPr>
          <w:rFonts w:ascii="Arial" w:hAnsi="Arial" w:cs="Arial"/>
        </w:rPr>
        <w:t>A strong focus on improving attendance, especially in Primary schools</w:t>
      </w:r>
    </w:p>
    <w:p w14:paraId="1483FC00" w14:textId="2D7A49F4" w:rsidR="00A67B4C" w:rsidRDefault="00B710A2" w:rsidP="00A51784">
      <w:pPr>
        <w:pStyle w:val="ListParagraph"/>
        <w:numPr>
          <w:ilvl w:val="0"/>
          <w:numId w:val="8"/>
        </w:numPr>
        <w:spacing w:after="120" w:line="240" w:lineRule="auto"/>
        <w:contextualSpacing w:val="0"/>
        <w:rPr>
          <w:rFonts w:ascii="Arial" w:hAnsi="Arial" w:cs="Arial"/>
        </w:rPr>
      </w:pPr>
      <w:r>
        <w:rPr>
          <w:rFonts w:ascii="Arial" w:hAnsi="Arial" w:cs="Arial"/>
        </w:rPr>
        <w:t xml:space="preserve">A focus on </w:t>
      </w:r>
      <w:proofErr w:type="spellStart"/>
      <w:r>
        <w:rPr>
          <w:rFonts w:ascii="Arial" w:hAnsi="Arial" w:cs="Arial"/>
        </w:rPr>
        <w:t>eE</w:t>
      </w:r>
      <w:r w:rsidR="00A67B4C">
        <w:rPr>
          <w:rFonts w:ascii="Arial" w:hAnsi="Arial" w:cs="Arial"/>
        </w:rPr>
        <w:t>arly</w:t>
      </w:r>
      <w:proofErr w:type="spellEnd"/>
      <w:r w:rsidR="00A67B4C">
        <w:rPr>
          <w:rFonts w:ascii="Arial" w:hAnsi="Arial" w:cs="Arial"/>
        </w:rPr>
        <w:t xml:space="preserve"> Years Standards Team, </w:t>
      </w:r>
      <w:r>
        <w:rPr>
          <w:rFonts w:ascii="Arial" w:hAnsi="Arial" w:cs="Arial"/>
        </w:rPr>
        <w:t>working with</w:t>
      </w:r>
      <w:r w:rsidR="00A67B4C">
        <w:rPr>
          <w:rFonts w:ascii="Arial" w:hAnsi="Arial" w:cs="Arial"/>
        </w:rPr>
        <w:t xml:space="preserve"> schools and settings to ensure high quality Early Years provision in all of our settings and effective transition.</w:t>
      </w:r>
    </w:p>
    <w:p w14:paraId="26674E2A" w14:textId="77777777" w:rsidR="00B31DB4" w:rsidRPr="00CB1E92" w:rsidRDefault="00B31DB4" w:rsidP="00A51784">
      <w:pPr>
        <w:pStyle w:val="NoSpacing"/>
        <w:numPr>
          <w:ilvl w:val="0"/>
          <w:numId w:val="8"/>
        </w:numPr>
        <w:spacing w:after="120"/>
        <w:jc w:val="both"/>
        <w:rPr>
          <w:rFonts w:ascii="Arial" w:hAnsi="Arial" w:cs="Arial"/>
        </w:rPr>
      </w:pPr>
      <w:r>
        <w:rPr>
          <w:rFonts w:ascii="Arial" w:hAnsi="Arial" w:cs="Arial"/>
        </w:rPr>
        <w:t>Continued intervention to support young people at risk of being Not in Employment</w:t>
      </w:r>
      <w:r w:rsidR="00DC660B">
        <w:rPr>
          <w:rFonts w:ascii="Arial" w:hAnsi="Arial" w:cs="Arial"/>
        </w:rPr>
        <w:t xml:space="preserve">, </w:t>
      </w:r>
      <w:r>
        <w:rPr>
          <w:rFonts w:ascii="Arial" w:hAnsi="Arial" w:cs="Arial"/>
        </w:rPr>
        <w:t xml:space="preserve">Education </w:t>
      </w:r>
      <w:r w:rsidR="00DC660B">
        <w:rPr>
          <w:rFonts w:ascii="Arial" w:hAnsi="Arial" w:cs="Arial"/>
        </w:rPr>
        <w:t>or</w:t>
      </w:r>
      <w:r>
        <w:rPr>
          <w:rFonts w:ascii="Arial" w:hAnsi="Arial" w:cs="Arial"/>
        </w:rPr>
        <w:t xml:space="preserve"> Training and work with providers to ensure suitable progression pathways including high quality technical and vocational provision.</w:t>
      </w:r>
    </w:p>
    <w:p w14:paraId="642E63A4" w14:textId="77777777" w:rsidR="0015172A" w:rsidRPr="005650C8" w:rsidRDefault="005650C8" w:rsidP="00395B93">
      <w:pPr>
        <w:spacing w:before="240" w:after="120" w:line="240" w:lineRule="auto"/>
        <w:rPr>
          <w:rFonts w:ascii="Arial" w:hAnsi="Arial" w:cs="Arial"/>
          <w:b/>
        </w:rPr>
      </w:pPr>
      <w:r w:rsidRPr="005650C8">
        <w:rPr>
          <w:rFonts w:ascii="Arial" w:hAnsi="Arial" w:cs="Arial"/>
          <w:b/>
        </w:rPr>
        <w:t>Governance</w:t>
      </w:r>
    </w:p>
    <w:p w14:paraId="62B1883B" w14:textId="77777777" w:rsidR="00A03DB6" w:rsidRDefault="00A03DB6" w:rsidP="006017FB">
      <w:pPr>
        <w:spacing w:after="120" w:line="240" w:lineRule="auto"/>
        <w:rPr>
          <w:rFonts w:ascii="Arial" w:hAnsi="Arial" w:cs="Arial"/>
        </w:rPr>
      </w:pPr>
      <w:r>
        <w:rPr>
          <w:rFonts w:ascii="Arial" w:hAnsi="Arial" w:cs="Arial"/>
        </w:rPr>
        <w:t>Th</w:t>
      </w:r>
      <w:r w:rsidR="004609C4">
        <w:rPr>
          <w:rFonts w:ascii="Arial" w:hAnsi="Arial" w:cs="Arial"/>
        </w:rPr>
        <w:t>e</w:t>
      </w:r>
      <w:r>
        <w:rPr>
          <w:rFonts w:ascii="Arial" w:hAnsi="Arial" w:cs="Arial"/>
        </w:rPr>
        <w:t xml:space="preserve"> implementation of this strategy will be overseen by the Barnet with Cambridge Education Strategic Partnership Board (SPB), which consists of representatives from the council, Cambridge Education and schools. </w:t>
      </w:r>
    </w:p>
    <w:p w14:paraId="4FC430B9" w14:textId="77777777" w:rsidR="007854C0" w:rsidRDefault="00A03DB6" w:rsidP="006017FB">
      <w:pPr>
        <w:spacing w:after="120" w:line="240" w:lineRule="auto"/>
        <w:rPr>
          <w:rFonts w:ascii="Arial" w:hAnsi="Arial" w:cs="Arial"/>
        </w:rPr>
      </w:pPr>
      <w:r>
        <w:rPr>
          <w:rFonts w:ascii="Arial" w:hAnsi="Arial" w:cs="Arial"/>
        </w:rPr>
        <w:t xml:space="preserve">Underpinning this strategy will be three sub-strategies, each overseen by a Partnership Board that reports into the SPB.  </w:t>
      </w:r>
      <w:r w:rsidR="007854C0">
        <w:rPr>
          <w:rFonts w:ascii="Arial" w:hAnsi="Arial" w:cs="Arial"/>
        </w:rPr>
        <w:t>The sub-strategies will set out progress to date and key objectives, actions and milestones for the year ahead and will be reviewed annually.</w:t>
      </w:r>
    </w:p>
    <w:p w14:paraId="348E1BA0" w14:textId="77777777" w:rsidR="00A03DB6" w:rsidRDefault="00A03DB6" w:rsidP="006017FB">
      <w:pPr>
        <w:spacing w:after="120" w:line="240" w:lineRule="auto"/>
        <w:rPr>
          <w:rFonts w:ascii="Arial" w:hAnsi="Arial" w:cs="Arial"/>
        </w:rPr>
      </w:pPr>
      <w:r>
        <w:rPr>
          <w:rFonts w:ascii="Arial" w:hAnsi="Arial" w:cs="Arial"/>
        </w:rPr>
        <w:t>Each Board includes representatives of the council, Cambridge Education and schools.  There are also a number of stakeholder boards feeding into the strategic planning and oversight roles of these partnership boards.</w:t>
      </w:r>
    </w:p>
    <w:p w14:paraId="4AC68A9D" w14:textId="77777777" w:rsidR="00A03DB6" w:rsidRDefault="00A03DB6" w:rsidP="006017FB">
      <w:pPr>
        <w:spacing w:after="120" w:line="240" w:lineRule="auto"/>
        <w:rPr>
          <w:rFonts w:ascii="Arial" w:hAnsi="Arial" w:cs="Arial"/>
        </w:rPr>
      </w:pPr>
      <w:r>
        <w:rPr>
          <w:rFonts w:ascii="Arial" w:hAnsi="Arial" w:cs="Arial"/>
        </w:rPr>
        <w:t>The sub-strategies, Boards and lead officers are set out in the table below:</w:t>
      </w:r>
    </w:p>
    <w:tbl>
      <w:tblPr>
        <w:tblStyle w:val="TableGrid"/>
        <w:tblW w:w="0" w:type="auto"/>
        <w:tblLook w:val="04A0" w:firstRow="1" w:lastRow="0" w:firstColumn="1" w:lastColumn="0" w:noHBand="0" w:noVBand="1"/>
      </w:tblPr>
      <w:tblGrid>
        <w:gridCol w:w="1525"/>
        <w:gridCol w:w="2772"/>
        <w:gridCol w:w="3561"/>
        <w:gridCol w:w="1158"/>
      </w:tblGrid>
      <w:tr w:rsidR="00A03DB6" w14:paraId="07FD4715" w14:textId="77777777" w:rsidTr="00395B93">
        <w:tc>
          <w:tcPr>
            <w:tcW w:w="1526" w:type="dxa"/>
            <w:shd w:val="clear" w:color="auto" w:fill="E5DFEC" w:themeFill="accent4" w:themeFillTint="33"/>
            <w:vAlign w:val="center"/>
          </w:tcPr>
          <w:p w14:paraId="3DC0796F" w14:textId="77777777" w:rsidR="00A03DB6" w:rsidRPr="00A03DB6" w:rsidRDefault="00A03DB6" w:rsidP="00395B93">
            <w:pPr>
              <w:spacing w:after="120"/>
              <w:jc w:val="center"/>
              <w:rPr>
                <w:rFonts w:ascii="Arial" w:hAnsi="Arial" w:cs="Arial"/>
                <w:b/>
              </w:rPr>
            </w:pPr>
            <w:r w:rsidRPr="00A03DB6">
              <w:rPr>
                <w:rFonts w:ascii="Arial" w:hAnsi="Arial" w:cs="Arial"/>
                <w:b/>
              </w:rPr>
              <w:t>Strategy</w:t>
            </w:r>
          </w:p>
        </w:tc>
        <w:tc>
          <w:tcPr>
            <w:tcW w:w="2835" w:type="dxa"/>
            <w:shd w:val="clear" w:color="auto" w:fill="E5DFEC" w:themeFill="accent4" w:themeFillTint="33"/>
            <w:vAlign w:val="center"/>
          </w:tcPr>
          <w:p w14:paraId="1BFF6D58" w14:textId="77777777" w:rsidR="00A03DB6" w:rsidRPr="00A03DB6" w:rsidRDefault="00A03DB6" w:rsidP="00395B93">
            <w:pPr>
              <w:spacing w:after="120"/>
              <w:jc w:val="center"/>
              <w:rPr>
                <w:rFonts w:ascii="Arial" w:hAnsi="Arial" w:cs="Arial"/>
                <w:b/>
              </w:rPr>
            </w:pPr>
            <w:r w:rsidRPr="00A03DB6">
              <w:rPr>
                <w:rFonts w:ascii="Arial" w:hAnsi="Arial" w:cs="Arial"/>
                <w:b/>
              </w:rPr>
              <w:t>Board</w:t>
            </w:r>
          </w:p>
        </w:tc>
        <w:tc>
          <w:tcPr>
            <w:tcW w:w="3661" w:type="dxa"/>
            <w:shd w:val="clear" w:color="auto" w:fill="E5DFEC" w:themeFill="accent4" w:themeFillTint="33"/>
            <w:vAlign w:val="center"/>
          </w:tcPr>
          <w:p w14:paraId="31129087" w14:textId="77777777" w:rsidR="00A03DB6" w:rsidRPr="00A03DB6" w:rsidRDefault="00A03DB6" w:rsidP="00395B93">
            <w:pPr>
              <w:spacing w:after="120"/>
              <w:jc w:val="center"/>
              <w:rPr>
                <w:rFonts w:ascii="Arial" w:hAnsi="Arial" w:cs="Arial"/>
                <w:b/>
              </w:rPr>
            </w:pPr>
            <w:r w:rsidRPr="00A03DB6">
              <w:rPr>
                <w:rFonts w:ascii="Arial" w:hAnsi="Arial" w:cs="Arial"/>
                <w:b/>
              </w:rPr>
              <w:t>Lead officer</w:t>
            </w:r>
          </w:p>
        </w:tc>
        <w:tc>
          <w:tcPr>
            <w:tcW w:w="1158" w:type="dxa"/>
            <w:shd w:val="clear" w:color="auto" w:fill="E5DFEC" w:themeFill="accent4" w:themeFillTint="33"/>
            <w:vAlign w:val="center"/>
          </w:tcPr>
          <w:p w14:paraId="303F506E" w14:textId="77777777" w:rsidR="00A03DB6" w:rsidRPr="00A03DB6" w:rsidRDefault="00A03DB6" w:rsidP="00395B93">
            <w:pPr>
              <w:spacing w:after="120"/>
              <w:jc w:val="center"/>
              <w:rPr>
                <w:rFonts w:ascii="Arial" w:hAnsi="Arial" w:cs="Arial"/>
                <w:b/>
              </w:rPr>
            </w:pPr>
            <w:r w:rsidRPr="00A03DB6">
              <w:rPr>
                <w:rFonts w:ascii="Arial" w:hAnsi="Arial" w:cs="Arial"/>
                <w:b/>
              </w:rPr>
              <w:t>Strategic goals</w:t>
            </w:r>
          </w:p>
        </w:tc>
      </w:tr>
      <w:tr w:rsidR="00A03DB6" w14:paraId="24449827" w14:textId="77777777" w:rsidTr="00A03DB6">
        <w:tc>
          <w:tcPr>
            <w:tcW w:w="1526" w:type="dxa"/>
          </w:tcPr>
          <w:p w14:paraId="1A9CB02C" w14:textId="77777777" w:rsidR="00A03DB6" w:rsidRDefault="00A03DB6" w:rsidP="006017FB">
            <w:pPr>
              <w:spacing w:after="120"/>
              <w:rPr>
                <w:rFonts w:ascii="Arial" w:hAnsi="Arial" w:cs="Arial"/>
              </w:rPr>
            </w:pPr>
            <w:r>
              <w:rPr>
                <w:rFonts w:ascii="Arial" w:hAnsi="Arial" w:cs="Arial"/>
              </w:rPr>
              <w:t>School Places</w:t>
            </w:r>
          </w:p>
        </w:tc>
        <w:tc>
          <w:tcPr>
            <w:tcW w:w="2835" w:type="dxa"/>
          </w:tcPr>
          <w:p w14:paraId="081F3CAA" w14:textId="77777777" w:rsidR="00A03DB6" w:rsidRDefault="00A03DB6" w:rsidP="006017FB">
            <w:pPr>
              <w:spacing w:after="120"/>
              <w:rPr>
                <w:rFonts w:ascii="Arial" w:hAnsi="Arial" w:cs="Arial"/>
              </w:rPr>
            </w:pPr>
            <w:r>
              <w:rPr>
                <w:rFonts w:ascii="Arial" w:hAnsi="Arial" w:cs="Arial"/>
              </w:rPr>
              <w:t>School Organisation and Place Planning (SOPP)</w:t>
            </w:r>
          </w:p>
        </w:tc>
        <w:tc>
          <w:tcPr>
            <w:tcW w:w="3661" w:type="dxa"/>
          </w:tcPr>
          <w:p w14:paraId="3166ED79" w14:textId="77777777" w:rsidR="00A03DB6" w:rsidRDefault="00A03DB6" w:rsidP="00A03DB6">
            <w:pPr>
              <w:spacing w:after="120"/>
              <w:rPr>
                <w:rFonts w:ascii="Arial" w:hAnsi="Arial" w:cs="Arial"/>
              </w:rPr>
            </w:pPr>
            <w:r w:rsidRPr="00A03DB6">
              <w:rPr>
                <w:rFonts w:ascii="Arial" w:hAnsi="Arial" w:cs="Arial"/>
              </w:rPr>
              <w:t>Programme Director, Education and Learning</w:t>
            </w:r>
            <w:r>
              <w:rPr>
                <w:rFonts w:ascii="Arial" w:hAnsi="Arial" w:cs="Arial"/>
              </w:rPr>
              <w:t xml:space="preserve"> and Assistant Director, Access and Corporate Services</w:t>
            </w:r>
          </w:p>
        </w:tc>
        <w:tc>
          <w:tcPr>
            <w:tcW w:w="1158" w:type="dxa"/>
          </w:tcPr>
          <w:p w14:paraId="54B0F8C6" w14:textId="77777777" w:rsidR="00A03DB6" w:rsidRDefault="00A03DB6" w:rsidP="00A03DB6">
            <w:pPr>
              <w:spacing w:after="120"/>
              <w:jc w:val="center"/>
              <w:rPr>
                <w:rFonts w:ascii="Arial" w:hAnsi="Arial" w:cs="Arial"/>
              </w:rPr>
            </w:pPr>
            <w:r>
              <w:rPr>
                <w:rFonts w:ascii="Arial" w:hAnsi="Arial" w:cs="Arial"/>
              </w:rPr>
              <w:t>1</w:t>
            </w:r>
          </w:p>
        </w:tc>
      </w:tr>
      <w:tr w:rsidR="00A03DB6" w14:paraId="3C3BEA55" w14:textId="77777777" w:rsidTr="00A03DB6">
        <w:tc>
          <w:tcPr>
            <w:tcW w:w="1526" w:type="dxa"/>
          </w:tcPr>
          <w:p w14:paraId="768DC9EF" w14:textId="77777777" w:rsidR="00A03DB6" w:rsidRDefault="00A03DB6" w:rsidP="006017FB">
            <w:pPr>
              <w:spacing w:after="120"/>
              <w:rPr>
                <w:rFonts w:ascii="Arial" w:hAnsi="Arial" w:cs="Arial"/>
              </w:rPr>
            </w:pPr>
            <w:r>
              <w:rPr>
                <w:rFonts w:ascii="Arial" w:hAnsi="Arial" w:cs="Arial"/>
              </w:rPr>
              <w:t>SEND and Inclusion</w:t>
            </w:r>
          </w:p>
        </w:tc>
        <w:tc>
          <w:tcPr>
            <w:tcW w:w="2835" w:type="dxa"/>
          </w:tcPr>
          <w:p w14:paraId="3888D7C0" w14:textId="77777777" w:rsidR="00A03DB6" w:rsidRDefault="00A03DB6" w:rsidP="006017FB">
            <w:pPr>
              <w:spacing w:after="120"/>
              <w:rPr>
                <w:rFonts w:ascii="Arial" w:hAnsi="Arial" w:cs="Arial"/>
              </w:rPr>
            </w:pPr>
            <w:r>
              <w:rPr>
                <w:rFonts w:ascii="Arial" w:hAnsi="Arial" w:cs="Arial"/>
              </w:rPr>
              <w:t>Special Educational Needs and Disabilities (SEND)</w:t>
            </w:r>
          </w:p>
        </w:tc>
        <w:tc>
          <w:tcPr>
            <w:tcW w:w="3661" w:type="dxa"/>
          </w:tcPr>
          <w:p w14:paraId="74C9B963" w14:textId="77777777" w:rsidR="00A03DB6" w:rsidRDefault="00A03DB6" w:rsidP="006017FB">
            <w:pPr>
              <w:spacing w:after="120"/>
              <w:rPr>
                <w:rFonts w:ascii="Arial" w:hAnsi="Arial" w:cs="Arial"/>
              </w:rPr>
            </w:pPr>
            <w:r>
              <w:rPr>
                <w:rFonts w:ascii="Arial" w:hAnsi="Arial" w:cs="Arial"/>
              </w:rPr>
              <w:t>Assistant Director, SEND and Inclusion</w:t>
            </w:r>
          </w:p>
        </w:tc>
        <w:tc>
          <w:tcPr>
            <w:tcW w:w="1158" w:type="dxa"/>
          </w:tcPr>
          <w:p w14:paraId="79DA0698" w14:textId="77777777" w:rsidR="00A03DB6" w:rsidRDefault="00A03DB6" w:rsidP="00A03DB6">
            <w:pPr>
              <w:spacing w:after="120"/>
              <w:jc w:val="center"/>
              <w:rPr>
                <w:rFonts w:ascii="Arial" w:hAnsi="Arial" w:cs="Arial"/>
              </w:rPr>
            </w:pPr>
            <w:r>
              <w:rPr>
                <w:rFonts w:ascii="Arial" w:hAnsi="Arial" w:cs="Arial"/>
              </w:rPr>
              <w:t>2</w:t>
            </w:r>
          </w:p>
        </w:tc>
      </w:tr>
      <w:tr w:rsidR="00A03DB6" w14:paraId="1003A335" w14:textId="77777777" w:rsidTr="00A03DB6">
        <w:tc>
          <w:tcPr>
            <w:tcW w:w="1526" w:type="dxa"/>
          </w:tcPr>
          <w:p w14:paraId="6199951F" w14:textId="77777777" w:rsidR="00A03DB6" w:rsidRDefault="00A03DB6" w:rsidP="006017FB">
            <w:pPr>
              <w:spacing w:after="120"/>
              <w:rPr>
                <w:rFonts w:ascii="Arial" w:hAnsi="Arial" w:cs="Arial"/>
              </w:rPr>
            </w:pPr>
            <w:r>
              <w:rPr>
                <w:rFonts w:ascii="Arial" w:hAnsi="Arial" w:cs="Arial"/>
              </w:rPr>
              <w:t>School Improvement</w:t>
            </w:r>
          </w:p>
        </w:tc>
        <w:tc>
          <w:tcPr>
            <w:tcW w:w="2835" w:type="dxa"/>
          </w:tcPr>
          <w:p w14:paraId="5BFAA2B9" w14:textId="77777777" w:rsidR="00A03DB6" w:rsidRDefault="00A03DB6" w:rsidP="006017FB">
            <w:pPr>
              <w:spacing w:after="120"/>
              <w:rPr>
                <w:rFonts w:ascii="Arial" w:hAnsi="Arial" w:cs="Arial"/>
              </w:rPr>
            </w:pPr>
            <w:r>
              <w:rPr>
                <w:rFonts w:ascii="Arial" w:hAnsi="Arial" w:cs="Arial"/>
              </w:rPr>
              <w:t>School Standards (SSPB)</w:t>
            </w:r>
          </w:p>
        </w:tc>
        <w:tc>
          <w:tcPr>
            <w:tcW w:w="3661" w:type="dxa"/>
          </w:tcPr>
          <w:p w14:paraId="39417297" w14:textId="77777777" w:rsidR="00A03DB6" w:rsidRDefault="00A03DB6" w:rsidP="001C442D">
            <w:pPr>
              <w:spacing w:after="120"/>
              <w:rPr>
                <w:rFonts w:ascii="Arial" w:hAnsi="Arial" w:cs="Arial"/>
              </w:rPr>
            </w:pPr>
            <w:r>
              <w:rPr>
                <w:rFonts w:ascii="Arial" w:hAnsi="Arial" w:cs="Arial"/>
              </w:rPr>
              <w:t>Assistant Director, School Improvement</w:t>
            </w:r>
            <w:r w:rsidR="001C442D">
              <w:rPr>
                <w:rFonts w:ascii="Arial" w:hAnsi="Arial" w:cs="Arial"/>
              </w:rPr>
              <w:t xml:space="preserve"> and Traded Services</w:t>
            </w:r>
          </w:p>
        </w:tc>
        <w:tc>
          <w:tcPr>
            <w:tcW w:w="1158" w:type="dxa"/>
          </w:tcPr>
          <w:p w14:paraId="1ED5ED77" w14:textId="77777777" w:rsidR="00A03DB6" w:rsidRDefault="00A03DB6" w:rsidP="00A03DB6">
            <w:pPr>
              <w:spacing w:after="120"/>
              <w:jc w:val="center"/>
              <w:rPr>
                <w:rFonts w:ascii="Arial" w:hAnsi="Arial" w:cs="Arial"/>
              </w:rPr>
            </w:pPr>
            <w:r>
              <w:rPr>
                <w:rFonts w:ascii="Arial" w:hAnsi="Arial" w:cs="Arial"/>
              </w:rPr>
              <w:t>3, 4 and 5</w:t>
            </w:r>
          </w:p>
        </w:tc>
      </w:tr>
    </w:tbl>
    <w:p w14:paraId="7698EBD6" w14:textId="77777777" w:rsidR="00A03DB6" w:rsidRDefault="00A03DB6" w:rsidP="006017FB">
      <w:pPr>
        <w:spacing w:after="120" w:line="240" w:lineRule="auto"/>
        <w:rPr>
          <w:rFonts w:ascii="Arial" w:hAnsi="Arial" w:cs="Arial"/>
        </w:rPr>
      </w:pPr>
    </w:p>
    <w:p w14:paraId="639C6ACC" w14:textId="77777777" w:rsidR="00202E3D" w:rsidRDefault="00202E3D" w:rsidP="006017FB">
      <w:pPr>
        <w:spacing w:after="120" w:line="240" w:lineRule="auto"/>
        <w:rPr>
          <w:rFonts w:ascii="Arial" w:hAnsi="Arial" w:cs="Arial"/>
          <w:b/>
        </w:rPr>
      </w:pPr>
    </w:p>
    <w:p w14:paraId="02BA1045" w14:textId="2E82DD22" w:rsidR="00202E3D" w:rsidRDefault="00202E3D" w:rsidP="006017FB">
      <w:pPr>
        <w:spacing w:after="120" w:line="240" w:lineRule="auto"/>
        <w:rPr>
          <w:rFonts w:ascii="Arial" w:hAnsi="Arial" w:cs="Arial"/>
          <w:b/>
        </w:rPr>
      </w:pPr>
    </w:p>
    <w:p w14:paraId="6D6A2D7A" w14:textId="77777777" w:rsidR="003C4A2E" w:rsidRDefault="003C4A2E" w:rsidP="006017FB">
      <w:pPr>
        <w:spacing w:after="120" w:line="240" w:lineRule="auto"/>
        <w:rPr>
          <w:rFonts w:ascii="Arial" w:hAnsi="Arial" w:cs="Arial"/>
          <w:b/>
        </w:rPr>
      </w:pPr>
    </w:p>
    <w:p w14:paraId="370ED9B8" w14:textId="77777777" w:rsidR="00413858" w:rsidRPr="006017FB" w:rsidRDefault="00413858" w:rsidP="006017FB">
      <w:pPr>
        <w:spacing w:after="120" w:line="240" w:lineRule="auto"/>
        <w:rPr>
          <w:rFonts w:ascii="Arial" w:hAnsi="Arial" w:cs="Arial"/>
          <w:b/>
        </w:rPr>
      </w:pPr>
      <w:r w:rsidRPr="006017FB">
        <w:rPr>
          <w:rFonts w:ascii="Arial" w:hAnsi="Arial" w:cs="Arial"/>
          <w:b/>
        </w:rPr>
        <w:t>Performance measures and targets</w:t>
      </w:r>
    </w:p>
    <w:p w14:paraId="4FC33998" w14:textId="77777777" w:rsidR="0092655F" w:rsidRDefault="007854C0" w:rsidP="006017FB">
      <w:pPr>
        <w:spacing w:after="120" w:line="240" w:lineRule="auto"/>
        <w:rPr>
          <w:rFonts w:ascii="Arial" w:hAnsi="Arial" w:cs="Arial"/>
        </w:rPr>
      </w:pPr>
      <w:r>
        <w:rPr>
          <w:rFonts w:ascii="Arial" w:hAnsi="Arial" w:cs="Arial"/>
        </w:rPr>
        <w:t>Prog</w:t>
      </w:r>
      <w:r w:rsidR="0092655F">
        <w:rPr>
          <w:rFonts w:ascii="Arial" w:hAnsi="Arial" w:cs="Arial"/>
        </w:rPr>
        <w:t>r</w:t>
      </w:r>
      <w:r>
        <w:rPr>
          <w:rFonts w:ascii="Arial" w:hAnsi="Arial" w:cs="Arial"/>
        </w:rPr>
        <w:t>ess towards the strategic goals and in implement</w:t>
      </w:r>
      <w:r w:rsidR="00043EDD">
        <w:rPr>
          <w:rFonts w:ascii="Arial" w:hAnsi="Arial" w:cs="Arial"/>
        </w:rPr>
        <w:t>ing</w:t>
      </w:r>
      <w:r>
        <w:rPr>
          <w:rFonts w:ascii="Arial" w:hAnsi="Arial" w:cs="Arial"/>
        </w:rPr>
        <w:t xml:space="preserve"> strategies will be measured against a number of performance indicators and targets.  </w:t>
      </w:r>
    </w:p>
    <w:p w14:paraId="0F854D38" w14:textId="77777777" w:rsidR="007854C0" w:rsidRDefault="007854C0" w:rsidP="006017FB">
      <w:pPr>
        <w:spacing w:after="120" w:line="240" w:lineRule="auto"/>
        <w:rPr>
          <w:rFonts w:ascii="Arial" w:hAnsi="Arial" w:cs="Arial"/>
        </w:rPr>
      </w:pPr>
      <w:r>
        <w:rPr>
          <w:rFonts w:ascii="Arial" w:hAnsi="Arial" w:cs="Arial"/>
        </w:rPr>
        <w:t>These are set out in Appendix 1</w:t>
      </w:r>
      <w:r w:rsidR="0092655F">
        <w:rPr>
          <w:rFonts w:ascii="Arial" w:hAnsi="Arial" w:cs="Arial"/>
        </w:rPr>
        <w:t>,</w:t>
      </w:r>
      <w:r>
        <w:rPr>
          <w:rFonts w:ascii="Arial" w:hAnsi="Arial" w:cs="Arial"/>
        </w:rPr>
        <w:t xml:space="preserve"> </w:t>
      </w:r>
      <w:r w:rsidR="0092655F">
        <w:rPr>
          <w:rFonts w:ascii="Arial" w:hAnsi="Arial" w:cs="Arial"/>
        </w:rPr>
        <w:t>which</w:t>
      </w:r>
      <w:r>
        <w:rPr>
          <w:rFonts w:ascii="Arial" w:hAnsi="Arial" w:cs="Arial"/>
        </w:rPr>
        <w:t xml:space="preserve"> also show</w:t>
      </w:r>
      <w:r w:rsidR="0092655F">
        <w:rPr>
          <w:rFonts w:ascii="Arial" w:hAnsi="Arial" w:cs="Arial"/>
        </w:rPr>
        <w:t>s</w:t>
      </w:r>
      <w:r>
        <w:rPr>
          <w:rFonts w:ascii="Arial" w:hAnsi="Arial" w:cs="Arial"/>
        </w:rPr>
        <w:t xml:space="preserve"> which strategic goal each performance indicator and target relates to.</w:t>
      </w:r>
    </w:p>
    <w:p w14:paraId="07F01E63" w14:textId="77777777" w:rsidR="007854C0" w:rsidRDefault="0092655F" w:rsidP="006017FB">
      <w:pPr>
        <w:spacing w:after="120" w:line="240" w:lineRule="auto"/>
        <w:rPr>
          <w:rFonts w:ascii="Arial" w:hAnsi="Arial" w:cs="Arial"/>
        </w:rPr>
      </w:pPr>
      <w:r>
        <w:rPr>
          <w:rFonts w:ascii="Arial" w:hAnsi="Arial" w:cs="Arial"/>
        </w:rPr>
        <w:t>Some contextual issues and c</w:t>
      </w:r>
      <w:r w:rsidR="007854C0">
        <w:rPr>
          <w:rFonts w:ascii="Arial" w:hAnsi="Arial" w:cs="Arial"/>
        </w:rPr>
        <w:t xml:space="preserve">urrent performance against a number of key measures </w:t>
      </w:r>
      <w:r>
        <w:rPr>
          <w:rFonts w:ascii="Arial" w:hAnsi="Arial" w:cs="Arial"/>
        </w:rPr>
        <w:t>are</w:t>
      </w:r>
      <w:r w:rsidR="007854C0">
        <w:rPr>
          <w:rFonts w:ascii="Arial" w:hAnsi="Arial" w:cs="Arial"/>
        </w:rPr>
        <w:t xml:space="preserve"> summarised in Appendix 2.</w:t>
      </w:r>
    </w:p>
    <w:p w14:paraId="21CA628E" w14:textId="77777777" w:rsidR="0092655F" w:rsidRDefault="0092655F" w:rsidP="006017FB">
      <w:pPr>
        <w:spacing w:after="120" w:line="240" w:lineRule="auto"/>
        <w:rPr>
          <w:rFonts w:ascii="Arial" w:hAnsi="Arial" w:cs="Arial"/>
        </w:rPr>
      </w:pPr>
      <w:r>
        <w:rPr>
          <w:rFonts w:ascii="Arial" w:hAnsi="Arial" w:cs="Arial"/>
        </w:rPr>
        <w:t>The strategic priorities agreed by each of the sub-boards and by SPB are set out in Appendix 3.</w:t>
      </w:r>
    </w:p>
    <w:p w14:paraId="6C33A9F7" w14:textId="77777777" w:rsidR="0092655F" w:rsidRDefault="00043EDD" w:rsidP="006017FB">
      <w:pPr>
        <w:spacing w:after="120" w:line="240" w:lineRule="auto"/>
        <w:rPr>
          <w:rFonts w:ascii="Arial" w:hAnsi="Arial" w:cs="Arial"/>
        </w:rPr>
      </w:pPr>
      <w:r>
        <w:rPr>
          <w:rFonts w:ascii="Arial" w:hAnsi="Arial" w:cs="Arial"/>
        </w:rPr>
        <w:t>Thes</w:t>
      </w:r>
      <w:r w:rsidR="0092655F">
        <w:rPr>
          <w:rFonts w:ascii="Arial" w:hAnsi="Arial" w:cs="Arial"/>
        </w:rPr>
        <w:t>e appendices will be reviewed and updated annually.</w:t>
      </w:r>
    </w:p>
    <w:p w14:paraId="150C5468" w14:textId="77777777" w:rsidR="000D251A" w:rsidRDefault="000D251A" w:rsidP="006017FB">
      <w:pPr>
        <w:spacing w:after="120" w:line="240" w:lineRule="auto"/>
        <w:rPr>
          <w:rFonts w:ascii="Arial" w:hAnsi="Arial" w:cs="Arial"/>
        </w:rPr>
      </w:pPr>
    </w:p>
    <w:p w14:paraId="150ECE02" w14:textId="77777777" w:rsidR="000D251A" w:rsidRDefault="000D251A">
      <w:pPr>
        <w:rPr>
          <w:rFonts w:ascii="Arial" w:hAnsi="Arial" w:cs="Arial"/>
        </w:rPr>
      </w:pPr>
      <w:r>
        <w:rPr>
          <w:rFonts w:ascii="Arial" w:hAnsi="Arial" w:cs="Arial"/>
        </w:rPr>
        <w:br w:type="page"/>
      </w:r>
    </w:p>
    <w:p w14:paraId="7401ED5A" w14:textId="77777777" w:rsidR="0015172A" w:rsidRDefault="0015172A" w:rsidP="0092655F">
      <w:pPr>
        <w:spacing w:after="120" w:line="240" w:lineRule="auto"/>
        <w:jc w:val="both"/>
        <w:rPr>
          <w:rFonts w:ascii="Arial" w:hAnsi="Arial" w:cs="Arial"/>
        </w:rPr>
      </w:pPr>
    </w:p>
    <w:p w14:paraId="08FB929B" w14:textId="77777777" w:rsidR="00B17961" w:rsidRDefault="00B17961" w:rsidP="00B17961">
      <w:pPr>
        <w:spacing w:after="120" w:line="240" w:lineRule="auto"/>
        <w:jc w:val="right"/>
        <w:rPr>
          <w:rFonts w:ascii="Arial" w:hAnsi="Arial" w:cs="Arial"/>
          <w:b/>
        </w:rPr>
      </w:pPr>
      <w:r w:rsidRPr="0092655F">
        <w:rPr>
          <w:rFonts w:ascii="Arial" w:hAnsi="Arial" w:cs="Arial"/>
          <w:b/>
        </w:rPr>
        <w:t>Appendix 1</w:t>
      </w:r>
      <w:r>
        <w:rPr>
          <w:rFonts w:ascii="Arial" w:hAnsi="Arial" w:cs="Arial"/>
          <w:b/>
        </w:rPr>
        <w:t>a</w:t>
      </w:r>
    </w:p>
    <w:p w14:paraId="3633EFFE" w14:textId="77777777" w:rsidR="00B17961" w:rsidRDefault="00B17961" w:rsidP="00B17961">
      <w:pPr>
        <w:spacing w:after="120" w:line="240" w:lineRule="auto"/>
        <w:jc w:val="center"/>
        <w:rPr>
          <w:rFonts w:ascii="Arial" w:hAnsi="Arial" w:cs="Arial"/>
          <w:b/>
        </w:rPr>
      </w:pPr>
      <w:r>
        <w:rPr>
          <w:rFonts w:ascii="Arial" w:hAnsi="Arial" w:cs="Arial"/>
          <w:b/>
        </w:rPr>
        <w:t xml:space="preserve">Education Strategy – Key </w:t>
      </w:r>
      <w:r w:rsidRPr="00912078">
        <w:rPr>
          <w:rFonts w:ascii="Arial" w:hAnsi="Arial" w:cs="Arial"/>
          <w:b/>
        </w:rPr>
        <w:t xml:space="preserve">Performance </w:t>
      </w:r>
      <w:r>
        <w:rPr>
          <w:rFonts w:ascii="Arial" w:hAnsi="Arial" w:cs="Arial"/>
          <w:b/>
        </w:rPr>
        <w:t>I</w:t>
      </w:r>
      <w:r w:rsidRPr="00912078">
        <w:rPr>
          <w:rFonts w:ascii="Arial" w:hAnsi="Arial" w:cs="Arial"/>
          <w:b/>
        </w:rPr>
        <w:t xml:space="preserve">ndicators and </w:t>
      </w:r>
      <w:r>
        <w:rPr>
          <w:rFonts w:ascii="Arial" w:hAnsi="Arial" w:cs="Arial"/>
          <w:b/>
        </w:rPr>
        <w:t>T</w:t>
      </w:r>
      <w:r w:rsidRPr="00912078">
        <w:rPr>
          <w:rFonts w:ascii="Arial" w:hAnsi="Arial" w:cs="Arial"/>
          <w:b/>
        </w:rPr>
        <w:t>argets</w:t>
      </w:r>
    </w:p>
    <w:tbl>
      <w:tblPr>
        <w:tblStyle w:val="TableGrid"/>
        <w:tblW w:w="9067" w:type="dxa"/>
        <w:tblLayout w:type="fixed"/>
        <w:tblLook w:val="04A0" w:firstRow="1" w:lastRow="0" w:firstColumn="1" w:lastColumn="0" w:noHBand="0" w:noVBand="1"/>
      </w:tblPr>
      <w:tblGrid>
        <w:gridCol w:w="675"/>
        <w:gridCol w:w="3289"/>
        <w:gridCol w:w="1843"/>
        <w:gridCol w:w="1559"/>
        <w:gridCol w:w="1701"/>
      </w:tblGrid>
      <w:tr w:rsidR="00B17961" w:rsidRPr="00C004AF" w14:paraId="7F4DC414" w14:textId="77777777" w:rsidTr="00B17961">
        <w:trPr>
          <w:cantSplit/>
          <w:tblHeader/>
        </w:trPr>
        <w:tc>
          <w:tcPr>
            <w:tcW w:w="675" w:type="dxa"/>
            <w:shd w:val="clear" w:color="auto" w:fill="E5DFEC" w:themeFill="accent4" w:themeFillTint="33"/>
            <w:vAlign w:val="center"/>
          </w:tcPr>
          <w:p w14:paraId="018AB925" w14:textId="77777777" w:rsidR="00B17961" w:rsidRPr="00C004AF" w:rsidRDefault="00B17961" w:rsidP="00B17961">
            <w:pPr>
              <w:spacing w:before="60" w:after="60"/>
              <w:jc w:val="center"/>
              <w:rPr>
                <w:rFonts w:ascii="Arial" w:hAnsi="Arial" w:cs="Arial"/>
                <w:b/>
                <w:sz w:val="20"/>
                <w:szCs w:val="20"/>
              </w:rPr>
            </w:pPr>
            <w:r w:rsidRPr="00C004AF">
              <w:rPr>
                <w:rFonts w:ascii="Arial" w:hAnsi="Arial" w:cs="Arial"/>
                <w:b/>
                <w:sz w:val="20"/>
                <w:szCs w:val="20"/>
              </w:rPr>
              <w:t>No.</w:t>
            </w:r>
          </w:p>
        </w:tc>
        <w:tc>
          <w:tcPr>
            <w:tcW w:w="3289" w:type="dxa"/>
            <w:shd w:val="clear" w:color="auto" w:fill="E5DFEC" w:themeFill="accent4" w:themeFillTint="33"/>
            <w:vAlign w:val="center"/>
          </w:tcPr>
          <w:p w14:paraId="41ED7A10" w14:textId="77777777" w:rsidR="00B17961" w:rsidRPr="00C004AF" w:rsidRDefault="00B17961" w:rsidP="00B17961">
            <w:pPr>
              <w:spacing w:before="60" w:after="60"/>
              <w:jc w:val="center"/>
              <w:rPr>
                <w:rFonts w:ascii="Arial" w:hAnsi="Arial" w:cs="Arial"/>
                <w:b/>
                <w:sz w:val="20"/>
                <w:szCs w:val="20"/>
              </w:rPr>
            </w:pPr>
            <w:r w:rsidRPr="00C004AF">
              <w:rPr>
                <w:rFonts w:ascii="Arial" w:hAnsi="Arial" w:cs="Arial"/>
                <w:b/>
                <w:sz w:val="20"/>
                <w:szCs w:val="20"/>
              </w:rPr>
              <w:t>Performance indicator</w:t>
            </w:r>
          </w:p>
        </w:tc>
        <w:tc>
          <w:tcPr>
            <w:tcW w:w="1843" w:type="dxa"/>
            <w:shd w:val="clear" w:color="auto" w:fill="E5DFEC" w:themeFill="accent4" w:themeFillTint="33"/>
            <w:vAlign w:val="center"/>
          </w:tcPr>
          <w:p w14:paraId="4E708570" w14:textId="77777777" w:rsidR="00B17961" w:rsidRPr="00C004AF" w:rsidRDefault="00B17961" w:rsidP="00B17961">
            <w:pPr>
              <w:spacing w:before="60" w:after="60"/>
              <w:jc w:val="center"/>
              <w:rPr>
                <w:rFonts w:ascii="Arial" w:hAnsi="Arial" w:cs="Arial"/>
                <w:b/>
                <w:sz w:val="20"/>
                <w:szCs w:val="20"/>
              </w:rPr>
            </w:pPr>
            <w:r w:rsidRPr="00C004AF">
              <w:rPr>
                <w:rFonts w:ascii="Arial" w:hAnsi="Arial" w:cs="Arial"/>
                <w:b/>
                <w:sz w:val="20"/>
                <w:szCs w:val="20"/>
              </w:rPr>
              <w:t xml:space="preserve">2015/16 baseline (summer 2016 for </w:t>
            </w:r>
            <w:r>
              <w:rPr>
                <w:rFonts w:ascii="Arial" w:hAnsi="Arial" w:cs="Arial"/>
                <w:b/>
                <w:sz w:val="20"/>
                <w:szCs w:val="20"/>
              </w:rPr>
              <w:t>tests</w:t>
            </w:r>
            <w:r w:rsidRPr="00C004AF">
              <w:rPr>
                <w:rFonts w:ascii="Arial" w:hAnsi="Arial" w:cs="Arial"/>
                <w:b/>
                <w:sz w:val="20"/>
                <w:szCs w:val="20"/>
              </w:rPr>
              <w:t>)</w:t>
            </w:r>
          </w:p>
        </w:tc>
        <w:tc>
          <w:tcPr>
            <w:tcW w:w="1559" w:type="dxa"/>
            <w:shd w:val="clear" w:color="auto" w:fill="E5DFEC" w:themeFill="accent4" w:themeFillTint="33"/>
            <w:vAlign w:val="center"/>
          </w:tcPr>
          <w:p w14:paraId="4DBC05E2" w14:textId="77777777" w:rsidR="00B17961" w:rsidRDefault="00B17961" w:rsidP="00B17961">
            <w:pPr>
              <w:spacing w:before="60" w:after="60"/>
              <w:jc w:val="center"/>
              <w:rPr>
                <w:rFonts w:ascii="Arial" w:hAnsi="Arial" w:cs="Arial"/>
                <w:b/>
                <w:sz w:val="20"/>
                <w:szCs w:val="20"/>
              </w:rPr>
            </w:pPr>
            <w:r w:rsidRPr="00C004AF">
              <w:rPr>
                <w:rFonts w:ascii="Arial" w:hAnsi="Arial" w:cs="Arial"/>
                <w:b/>
                <w:sz w:val="20"/>
                <w:szCs w:val="20"/>
              </w:rPr>
              <w:t>201</w:t>
            </w:r>
            <w:r>
              <w:rPr>
                <w:rFonts w:ascii="Arial" w:hAnsi="Arial" w:cs="Arial"/>
                <w:b/>
                <w:sz w:val="20"/>
                <w:szCs w:val="20"/>
              </w:rPr>
              <w:t>7</w:t>
            </w:r>
            <w:r w:rsidRPr="00C004AF">
              <w:rPr>
                <w:rFonts w:ascii="Arial" w:hAnsi="Arial" w:cs="Arial"/>
                <w:b/>
                <w:sz w:val="20"/>
                <w:szCs w:val="20"/>
              </w:rPr>
              <w:t>/1</w:t>
            </w:r>
            <w:r>
              <w:rPr>
                <w:rFonts w:ascii="Arial" w:hAnsi="Arial" w:cs="Arial"/>
                <w:b/>
                <w:sz w:val="20"/>
                <w:szCs w:val="20"/>
              </w:rPr>
              <w:t>8</w:t>
            </w:r>
            <w:r w:rsidRPr="00C004AF">
              <w:rPr>
                <w:rFonts w:ascii="Arial" w:hAnsi="Arial" w:cs="Arial"/>
                <w:b/>
                <w:sz w:val="20"/>
                <w:szCs w:val="20"/>
              </w:rPr>
              <w:t xml:space="preserve"> target (summer 201</w:t>
            </w:r>
            <w:r>
              <w:rPr>
                <w:rFonts w:ascii="Arial" w:hAnsi="Arial" w:cs="Arial"/>
                <w:b/>
                <w:sz w:val="20"/>
                <w:szCs w:val="20"/>
              </w:rPr>
              <w:t>8 for tests</w:t>
            </w:r>
            <w:r w:rsidRPr="00C004AF">
              <w:rPr>
                <w:rFonts w:ascii="Arial" w:hAnsi="Arial" w:cs="Arial"/>
                <w:b/>
                <w:sz w:val="20"/>
                <w:szCs w:val="20"/>
              </w:rPr>
              <w:t>)</w:t>
            </w:r>
          </w:p>
        </w:tc>
        <w:tc>
          <w:tcPr>
            <w:tcW w:w="1701" w:type="dxa"/>
            <w:tcBorders>
              <w:bottom w:val="single" w:sz="4" w:space="0" w:color="auto"/>
            </w:tcBorders>
            <w:shd w:val="clear" w:color="auto" w:fill="E5DFEC" w:themeFill="accent4" w:themeFillTint="33"/>
            <w:vAlign w:val="center"/>
          </w:tcPr>
          <w:p w14:paraId="413A9408" w14:textId="77777777" w:rsidR="00B17961" w:rsidRDefault="00B17961" w:rsidP="00B17961">
            <w:pPr>
              <w:spacing w:before="60" w:after="60"/>
              <w:jc w:val="center"/>
              <w:rPr>
                <w:rFonts w:ascii="Arial" w:hAnsi="Arial" w:cs="Arial"/>
                <w:b/>
                <w:sz w:val="20"/>
                <w:szCs w:val="20"/>
              </w:rPr>
            </w:pPr>
            <w:r w:rsidRPr="00C004AF">
              <w:rPr>
                <w:rFonts w:ascii="Arial" w:hAnsi="Arial" w:cs="Arial"/>
                <w:b/>
                <w:sz w:val="20"/>
                <w:szCs w:val="20"/>
              </w:rPr>
              <w:t>201</w:t>
            </w:r>
            <w:r>
              <w:rPr>
                <w:rFonts w:ascii="Arial" w:hAnsi="Arial" w:cs="Arial"/>
                <w:b/>
                <w:sz w:val="20"/>
                <w:szCs w:val="20"/>
              </w:rPr>
              <w:t>7</w:t>
            </w:r>
            <w:r w:rsidRPr="00C004AF">
              <w:rPr>
                <w:rFonts w:ascii="Arial" w:hAnsi="Arial" w:cs="Arial"/>
                <w:b/>
                <w:sz w:val="20"/>
                <w:szCs w:val="20"/>
              </w:rPr>
              <w:t>/1</w:t>
            </w:r>
            <w:r>
              <w:rPr>
                <w:rFonts w:ascii="Arial" w:hAnsi="Arial" w:cs="Arial"/>
                <w:b/>
                <w:sz w:val="20"/>
                <w:szCs w:val="20"/>
              </w:rPr>
              <w:t>8</w:t>
            </w:r>
            <w:r w:rsidRPr="00C004AF">
              <w:rPr>
                <w:rFonts w:ascii="Arial" w:hAnsi="Arial" w:cs="Arial"/>
                <w:b/>
                <w:sz w:val="20"/>
                <w:szCs w:val="20"/>
              </w:rPr>
              <w:t xml:space="preserve"> </w:t>
            </w:r>
            <w:r>
              <w:rPr>
                <w:rFonts w:ascii="Arial" w:hAnsi="Arial" w:cs="Arial"/>
                <w:b/>
                <w:sz w:val="20"/>
                <w:szCs w:val="20"/>
              </w:rPr>
              <w:t>actuals</w:t>
            </w:r>
            <w:r w:rsidRPr="00C004AF">
              <w:rPr>
                <w:rFonts w:ascii="Arial" w:hAnsi="Arial" w:cs="Arial"/>
                <w:b/>
                <w:sz w:val="20"/>
                <w:szCs w:val="20"/>
              </w:rPr>
              <w:t xml:space="preserve"> (summer 201</w:t>
            </w:r>
            <w:r>
              <w:rPr>
                <w:rFonts w:ascii="Arial" w:hAnsi="Arial" w:cs="Arial"/>
                <w:b/>
                <w:sz w:val="20"/>
                <w:szCs w:val="20"/>
              </w:rPr>
              <w:t>8 for tests</w:t>
            </w:r>
            <w:r w:rsidRPr="00C004AF">
              <w:rPr>
                <w:rFonts w:ascii="Arial" w:hAnsi="Arial" w:cs="Arial"/>
                <w:b/>
                <w:sz w:val="20"/>
                <w:szCs w:val="20"/>
              </w:rPr>
              <w:t>)</w:t>
            </w:r>
          </w:p>
        </w:tc>
      </w:tr>
      <w:tr w:rsidR="00B17961" w:rsidRPr="00C004AF" w14:paraId="41337809" w14:textId="77777777" w:rsidTr="00B17961">
        <w:trPr>
          <w:cantSplit/>
        </w:trPr>
        <w:tc>
          <w:tcPr>
            <w:tcW w:w="675" w:type="dxa"/>
          </w:tcPr>
          <w:p w14:paraId="656836EA"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1</w:t>
            </w:r>
          </w:p>
        </w:tc>
        <w:tc>
          <w:tcPr>
            <w:tcW w:w="3289" w:type="dxa"/>
          </w:tcPr>
          <w:p w14:paraId="6A0F8E64"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children who applied on-time for a Reception place made an offer on national offer day</w:t>
            </w:r>
          </w:p>
        </w:tc>
        <w:tc>
          <w:tcPr>
            <w:tcW w:w="1843" w:type="dxa"/>
          </w:tcPr>
          <w:p w14:paraId="71D674EE"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100%</w:t>
            </w:r>
          </w:p>
        </w:tc>
        <w:tc>
          <w:tcPr>
            <w:tcW w:w="1559" w:type="dxa"/>
          </w:tcPr>
          <w:p w14:paraId="4B50D029"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99.9%</w:t>
            </w:r>
          </w:p>
        </w:tc>
        <w:tc>
          <w:tcPr>
            <w:tcW w:w="1701" w:type="dxa"/>
            <w:shd w:val="clear" w:color="auto" w:fill="6DF828"/>
          </w:tcPr>
          <w:p w14:paraId="764E9EEA" w14:textId="77777777" w:rsidR="00B17961" w:rsidRDefault="00B17961" w:rsidP="00B17961">
            <w:pPr>
              <w:spacing w:before="60" w:after="60"/>
              <w:jc w:val="center"/>
              <w:rPr>
                <w:rFonts w:ascii="Arial" w:hAnsi="Arial" w:cs="Arial"/>
                <w:sz w:val="20"/>
                <w:szCs w:val="20"/>
              </w:rPr>
            </w:pPr>
            <w:r>
              <w:rPr>
                <w:rFonts w:ascii="Arial" w:hAnsi="Arial" w:cs="Arial"/>
                <w:sz w:val="20"/>
                <w:szCs w:val="20"/>
              </w:rPr>
              <w:t>100%</w:t>
            </w:r>
          </w:p>
        </w:tc>
      </w:tr>
      <w:tr w:rsidR="00B17961" w:rsidRPr="00C004AF" w14:paraId="330CF483" w14:textId="77777777" w:rsidTr="00B17961">
        <w:trPr>
          <w:cantSplit/>
        </w:trPr>
        <w:tc>
          <w:tcPr>
            <w:tcW w:w="675" w:type="dxa"/>
          </w:tcPr>
          <w:p w14:paraId="6E90C304"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2</w:t>
            </w:r>
          </w:p>
        </w:tc>
        <w:tc>
          <w:tcPr>
            <w:tcW w:w="3289" w:type="dxa"/>
          </w:tcPr>
          <w:p w14:paraId="429650D0"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secondary children made an offer of a school place by statutory deadlines</w:t>
            </w:r>
          </w:p>
        </w:tc>
        <w:tc>
          <w:tcPr>
            <w:tcW w:w="1843" w:type="dxa"/>
          </w:tcPr>
          <w:p w14:paraId="1BA705D2"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100%</w:t>
            </w:r>
          </w:p>
        </w:tc>
        <w:tc>
          <w:tcPr>
            <w:tcW w:w="1559" w:type="dxa"/>
          </w:tcPr>
          <w:p w14:paraId="7196FCFD"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90%</w:t>
            </w:r>
          </w:p>
        </w:tc>
        <w:tc>
          <w:tcPr>
            <w:tcW w:w="1701" w:type="dxa"/>
            <w:shd w:val="clear" w:color="auto" w:fill="6DF828"/>
          </w:tcPr>
          <w:p w14:paraId="48745C7D"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100%</w:t>
            </w:r>
          </w:p>
        </w:tc>
      </w:tr>
      <w:tr w:rsidR="00B17961" w:rsidRPr="00C004AF" w14:paraId="1117A2C9" w14:textId="77777777" w:rsidTr="00B17961">
        <w:trPr>
          <w:cantSplit/>
        </w:trPr>
        <w:tc>
          <w:tcPr>
            <w:tcW w:w="675" w:type="dxa"/>
          </w:tcPr>
          <w:p w14:paraId="130D1BE9"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3</w:t>
            </w:r>
          </w:p>
        </w:tc>
        <w:tc>
          <w:tcPr>
            <w:tcW w:w="3289" w:type="dxa"/>
          </w:tcPr>
          <w:p w14:paraId="78F476B5"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final EHC plans issued within 20 weeks</w:t>
            </w:r>
          </w:p>
          <w:p w14:paraId="557AFF61" w14:textId="77777777" w:rsidR="00B17961" w:rsidRPr="00C004AF" w:rsidRDefault="00B17961" w:rsidP="00B17961">
            <w:pPr>
              <w:spacing w:before="60" w:after="60"/>
              <w:rPr>
                <w:rFonts w:ascii="Arial" w:hAnsi="Arial" w:cs="Arial"/>
                <w:sz w:val="20"/>
                <w:szCs w:val="20"/>
              </w:rPr>
            </w:pPr>
          </w:p>
        </w:tc>
        <w:tc>
          <w:tcPr>
            <w:tcW w:w="1843" w:type="dxa"/>
          </w:tcPr>
          <w:p w14:paraId="6AA40F5E" w14:textId="77777777" w:rsidR="00B17961" w:rsidRDefault="00B17961" w:rsidP="00B17961">
            <w:pPr>
              <w:spacing w:before="60" w:after="60"/>
              <w:jc w:val="center"/>
              <w:rPr>
                <w:rFonts w:ascii="Arial" w:hAnsi="Arial" w:cs="Arial"/>
                <w:sz w:val="20"/>
                <w:szCs w:val="20"/>
              </w:rPr>
            </w:pPr>
            <w:r w:rsidRPr="00C004AF">
              <w:rPr>
                <w:rFonts w:ascii="Arial" w:hAnsi="Arial" w:cs="Arial"/>
                <w:sz w:val="20"/>
                <w:szCs w:val="20"/>
              </w:rPr>
              <w:t>23%</w:t>
            </w:r>
          </w:p>
          <w:p w14:paraId="32EE6EE7" w14:textId="77777777" w:rsidR="00B17961" w:rsidRPr="00C004AF" w:rsidRDefault="00B17961" w:rsidP="00B17961">
            <w:pPr>
              <w:spacing w:before="60" w:after="60"/>
              <w:jc w:val="center"/>
              <w:rPr>
                <w:rFonts w:ascii="Arial" w:hAnsi="Arial" w:cs="Arial"/>
                <w:sz w:val="20"/>
                <w:szCs w:val="20"/>
              </w:rPr>
            </w:pPr>
          </w:p>
        </w:tc>
        <w:tc>
          <w:tcPr>
            <w:tcW w:w="1559" w:type="dxa"/>
          </w:tcPr>
          <w:p w14:paraId="00216106"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90%</w:t>
            </w:r>
          </w:p>
        </w:tc>
        <w:tc>
          <w:tcPr>
            <w:tcW w:w="1701" w:type="dxa"/>
            <w:shd w:val="clear" w:color="auto" w:fill="6DF828"/>
          </w:tcPr>
          <w:p w14:paraId="1B93D323"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100%</w:t>
            </w:r>
          </w:p>
        </w:tc>
      </w:tr>
      <w:tr w:rsidR="00B17961" w:rsidRPr="00C004AF" w14:paraId="7D200FD6" w14:textId="77777777" w:rsidTr="00B17961">
        <w:trPr>
          <w:cantSplit/>
        </w:trPr>
        <w:tc>
          <w:tcPr>
            <w:tcW w:w="675" w:type="dxa"/>
          </w:tcPr>
          <w:p w14:paraId="52CCBC4E"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4</w:t>
            </w:r>
          </w:p>
        </w:tc>
        <w:tc>
          <w:tcPr>
            <w:tcW w:w="3289" w:type="dxa"/>
          </w:tcPr>
          <w:p w14:paraId="1360DA86"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SEN statements transferred to EHC Plans in accordance with the council’s Transition Plan</w:t>
            </w:r>
          </w:p>
        </w:tc>
        <w:tc>
          <w:tcPr>
            <w:tcW w:w="1843" w:type="dxa"/>
          </w:tcPr>
          <w:p w14:paraId="05AC0686" w14:textId="77777777" w:rsidR="00B17961" w:rsidRPr="00C004AF" w:rsidRDefault="00B17961" w:rsidP="00B17961">
            <w:pPr>
              <w:spacing w:before="60" w:after="60"/>
              <w:rPr>
                <w:rFonts w:ascii="Arial" w:hAnsi="Arial" w:cs="Arial"/>
                <w:sz w:val="20"/>
                <w:szCs w:val="20"/>
              </w:rPr>
            </w:pPr>
            <w:r w:rsidRPr="00DD545C">
              <w:rPr>
                <w:rFonts w:ascii="Arial" w:hAnsi="Arial" w:cs="Arial"/>
                <w:sz w:val="20"/>
                <w:szCs w:val="20"/>
              </w:rPr>
              <w:t>376 out of 1551 completed by March 2016</w:t>
            </w:r>
          </w:p>
        </w:tc>
        <w:tc>
          <w:tcPr>
            <w:tcW w:w="1559" w:type="dxa"/>
          </w:tcPr>
          <w:p w14:paraId="3382ECDE"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100% of remaining transfers complete by 31.3.18.</w:t>
            </w:r>
          </w:p>
        </w:tc>
        <w:tc>
          <w:tcPr>
            <w:tcW w:w="1701" w:type="dxa"/>
            <w:shd w:val="clear" w:color="auto" w:fill="6DF828"/>
          </w:tcPr>
          <w:p w14:paraId="40C5BE3D"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 xml:space="preserve">100% </w:t>
            </w:r>
          </w:p>
        </w:tc>
      </w:tr>
      <w:tr w:rsidR="00B17961" w:rsidRPr="00C004AF" w14:paraId="720204A6" w14:textId="77777777" w:rsidTr="00B17961">
        <w:trPr>
          <w:cantSplit/>
        </w:trPr>
        <w:tc>
          <w:tcPr>
            <w:tcW w:w="675" w:type="dxa"/>
          </w:tcPr>
          <w:p w14:paraId="520C713D"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5</w:t>
            </w:r>
          </w:p>
        </w:tc>
        <w:tc>
          <w:tcPr>
            <w:tcW w:w="3289" w:type="dxa"/>
          </w:tcPr>
          <w:p w14:paraId="42610B99"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primary schools rated as ‘good’ or better</w:t>
            </w:r>
          </w:p>
        </w:tc>
        <w:tc>
          <w:tcPr>
            <w:tcW w:w="1843" w:type="dxa"/>
          </w:tcPr>
          <w:p w14:paraId="2006CFA4" w14:textId="77777777" w:rsidR="00B17961" w:rsidRPr="00C004AF" w:rsidRDefault="00B17961" w:rsidP="00B17961">
            <w:pPr>
              <w:spacing w:before="60" w:after="60"/>
              <w:jc w:val="center"/>
              <w:rPr>
                <w:rFonts w:ascii="Arial" w:hAnsi="Arial" w:cs="Arial"/>
                <w:sz w:val="20"/>
                <w:szCs w:val="20"/>
              </w:rPr>
            </w:pPr>
            <w:r w:rsidRPr="00C004AF">
              <w:rPr>
                <w:rFonts w:ascii="Arial" w:hAnsi="Arial" w:cs="Arial"/>
                <w:sz w:val="20"/>
                <w:szCs w:val="20"/>
              </w:rPr>
              <w:t>93%</w:t>
            </w:r>
          </w:p>
        </w:tc>
        <w:tc>
          <w:tcPr>
            <w:tcW w:w="1559" w:type="dxa"/>
          </w:tcPr>
          <w:p w14:paraId="40587F00" w14:textId="77777777" w:rsidR="00B17961" w:rsidRPr="00C004AF" w:rsidRDefault="00B17961" w:rsidP="00B17961">
            <w:pPr>
              <w:spacing w:before="60" w:after="60"/>
              <w:jc w:val="center"/>
              <w:rPr>
                <w:rFonts w:ascii="Arial" w:hAnsi="Arial" w:cs="Arial"/>
                <w:sz w:val="20"/>
                <w:szCs w:val="20"/>
              </w:rPr>
            </w:pPr>
            <w:r w:rsidRPr="00C004AF">
              <w:rPr>
                <w:rFonts w:ascii="Arial" w:hAnsi="Arial" w:cs="Arial"/>
                <w:sz w:val="20"/>
                <w:szCs w:val="20"/>
              </w:rPr>
              <w:t>93%</w:t>
            </w:r>
          </w:p>
        </w:tc>
        <w:tc>
          <w:tcPr>
            <w:tcW w:w="1701" w:type="dxa"/>
            <w:shd w:val="clear" w:color="auto" w:fill="6DF828"/>
          </w:tcPr>
          <w:p w14:paraId="1E0CF43A"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95%</w:t>
            </w:r>
          </w:p>
        </w:tc>
      </w:tr>
      <w:tr w:rsidR="00B17961" w:rsidRPr="00C004AF" w14:paraId="02BE44A1" w14:textId="77777777" w:rsidTr="00B17961">
        <w:trPr>
          <w:cantSplit/>
        </w:trPr>
        <w:tc>
          <w:tcPr>
            <w:tcW w:w="675" w:type="dxa"/>
          </w:tcPr>
          <w:p w14:paraId="52793B41"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6</w:t>
            </w:r>
          </w:p>
        </w:tc>
        <w:tc>
          <w:tcPr>
            <w:tcW w:w="3289" w:type="dxa"/>
          </w:tcPr>
          <w:p w14:paraId="0FE31CA2"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secondary schools rated as ‘good’ or better</w:t>
            </w:r>
          </w:p>
        </w:tc>
        <w:tc>
          <w:tcPr>
            <w:tcW w:w="1843" w:type="dxa"/>
          </w:tcPr>
          <w:p w14:paraId="16CE3B89" w14:textId="77777777" w:rsidR="00B17961" w:rsidRPr="00C004AF" w:rsidRDefault="00B17961" w:rsidP="00B17961">
            <w:pPr>
              <w:spacing w:before="60" w:after="60"/>
              <w:jc w:val="center"/>
              <w:rPr>
                <w:rFonts w:ascii="Arial" w:hAnsi="Arial" w:cs="Arial"/>
                <w:sz w:val="20"/>
                <w:szCs w:val="20"/>
              </w:rPr>
            </w:pPr>
            <w:r w:rsidRPr="00C004AF">
              <w:rPr>
                <w:rFonts w:ascii="Arial" w:hAnsi="Arial" w:cs="Arial"/>
                <w:sz w:val="20"/>
                <w:szCs w:val="20"/>
              </w:rPr>
              <w:t>84%</w:t>
            </w:r>
          </w:p>
        </w:tc>
        <w:tc>
          <w:tcPr>
            <w:tcW w:w="1559" w:type="dxa"/>
          </w:tcPr>
          <w:p w14:paraId="00CEB198" w14:textId="77777777" w:rsidR="00B17961" w:rsidRPr="00C004AF" w:rsidRDefault="00B17961" w:rsidP="00B17961">
            <w:pPr>
              <w:spacing w:before="60" w:after="60"/>
              <w:jc w:val="center"/>
              <w:rPr>
                <w:rFonts w:ascii="Arial" w:hAnsi="Arial" w:cs="Arial"/>
                <w:sz w:val="20"/>
                <w:szCs w:val="20"/>
              </w:rPr>
            </w:pPr>
            <w:r w:rsidRPr="00C004AF">
              <w:rPr>
                <w:rFonts w:ascii="Arial" w:hAnsi="Arial" w:cs="Arial"/>
                <w:sz w:val="20"/>
                <w:szCs w:val="20"/>
              </w:rPr>
              <w:t>84%</w:t>
            </w:r>
          </w:p>
        </w:tc>
        <w:tc>
          <w:tcPr>
            <w:tcW w:w="1701" w:type="dxa"/>
            <w:shd w:val="clear" w:color="auto" w:fill="6DF828"/>
          </w:tcPr>
          <w:p w14:paraId="147FB7E3"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95.5%</w:t>
            </w:r>
          </w:p>
        </w:tc>
      </w:tr>
      <w:tr w:rsidR="00B17961" w:rsidRPr="00C004AF" w14:paraId="1051FA65" w14:textId="77777777" w:rsidTr="00B17961">
        <w:trPr>
          <w:cantSplit/>
        </w:trPr>
        <w:tc>
          <w:tcPr>
            <w:tcW w:w="675" w:type="dxa"/>
          </w:tcPr>
          <w:p w14:paraId="585B8634"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7</w:t>
            </w:r>
          </w:p>
        </w:tc>
        <w:tc>
          <w:tcPr>
            <w:tcW w:w="3289" w:type="dxa"/>
          </w:tcPr>
          <w:p w14:paraId="4A385372"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Average percentage attendance levels in Primary schools for the Autumn and Spring terms</w:t>
            </w:r>
          </w:p>
        </w:tc>
        <w:tc>
          <w:tcPr>
            <w:tcW w:w="1843" w:type="dxa"/>
          </w:tcPr>
          <w:p w14:paraId="6DE60757"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96%</w:t>
            </w:r>
          </w:p>
        </w:tc>
        <w:tc>
          <w:tcPr>
            <w:tcW w:w="1559" w:type="dxa"/>
          </w:tcPr>
          <w:p w14:paraId="2CB48706" w14:textId="77777777" w:rsidR="00B17961" w:rsidRPr="00C004AF" w:rsidRDefault="00B17961" w:rsidP="00B17961">
            <w:pPr>
              <w:spacing w:before="60" w:after="60"/>
              <w:jc w:val="center"/>
              <w:rPr>
                <w:rFonts w:ascii="Arial" w:hAnsi="Arial" w:cs="Arial"/>
                <w:color w:val="000000"/>
                <w:sz w:val="20"/>
                <w:szCs w:val="20"/>
              </w:rPr>
            </w:pPr>
            <w:r>
              <w:rPr>
                <w:rFonts w:ascii="Arial" w:hAnsi="Arial" w:cs="Arial"/>
                <w:sz w:val="20"/>
                <w:szCs w:val="20"/>
              </w:rPr>
              <w:t>96%</w:t>
            </w:r>
          </w:p>
        </w:tc>
        <w:tc>
          <w:tcPr>
            <w:tcW w:w="1701" w:type="dxa"/>
            <w:shd w:val="clear" w:color="auto" w:fill="6DF828"/>
          </w:tcPr>
          <w:p w14:paraId="24ACB2BE" w14:textId="77777777" w:rsidR="00B17961" w:rsidRPr="00C004AF" w:rsidRDefault="00B17961" w:rsidP="00B17961">
            <w:pPr>
              <w:spacing w:before="60" w:after="60"/>
              <w:jc w:val="center"/>
              <w:rPr>
                <w:rFonts w:ascii="Arial" w:hAnsi="Arial" w:cs="Arial"/>
                <w:color w:val="000000"/>
                <w:sz w:val="20"/>
                <w:szCs w:val="20"/>
              </w:rPr>
            </w:pPr>
            <w:r>
              <w:rPr>
                <w:rFonts w:ascii="Arial" w:hAnsi="Arial" w:cs="Arial"/>
                <w:color w:val="000000"/>
                <w:sz w:val="20"/>
                <w:szCs w:val="20"/>
              </w:rPr>
              <w:t>96.1%</w:t>
            </w:r>
          </w:p>
        </w:tc>
      </w:tr>
      <w:tr w:rsidR="00B17961" w:rsidRPr="00C004AF" w14:paraId="27792447" w14:textId="77777777" w:rsidTr="00B17961">
        <w:trPr>
          <w:cantSplit/>
        </w:trPr>
        <w:tc>
          <w:tcPr>
            <w:tcW w:w="675" w:type="dxa"/>
          </w:tcPr>
          <w:p w14:paraId="33FFA03A"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8</w:t>
            </w:r>
          </w:p>
        </w:tc>
        <w:tc>
          <w:tcPr>
            <w:tcW w:w="3289" w:type="dxa"/>
          </w:tcPr>
          <w:p w14:paraId="70B29900" w14:textId="77777777" w:rsidR="00B17961" w:rsidRPr="00C004AF" w:rsidRDefault="00B17961" w:rsidP="00B17961">
            <w:pPr>
              <w:spacing w:before="60" w:after="60"/>
              <w:rPr>
                <w:rFonts w:ascii="Arial" w:hAnsi="Arial" w:cs="Arial"/>
                <w:sz w:val="20"/>
                <w:szCs w:val="20"/>
                <w:u w:val="single"/>
              </w:rPr>
            </w:pPr>
            <w:r w:rsidRPr="00C004AF">
              <w:rPr>
                <w:rFonts w:ascii="Arial" w:hAnsi="Arial" w:cs="Arial"/>
                <w:sz w:val="20"/>
                <w:szCs w:val="20"/>
                <w:u w:val="single"/>
              </w:rPr>
              <w:t>Primary attainment (KS2):</w:t>
            </w:r>
          </w:p>
          <w:p w14:paraId="0EA47D3B"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primary pupils achieving the ‘expected standard’ in English Reading, English Writing and Mathematics (combined) at the end of Key Stage 2</w:t>
            </w:r>
          </w:p>
        </w:tc>
        <w:tc>
          <w:tcPr>
            <w:tcW w:w="1843" w:type="dxa"/>
          </w:tcPr>
          <w:p w14:paraId="5764E705"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59%</w:t>
            </w:r>
          </w:p>
        </w:tc>
        <w:tc>
          <w:tcPr>
            <w:tcW w:w="1559" w:type="dxa"/>
          </w:tcPr>
          <w:p w14:paraId="54FF998F"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Top 10% (ranked 15</w:t>
            </w:r>
            <w:r w:rsidRPr="003B1D70">
              <w:rPr>
                <w:rFonts w:ascii="Arial" w:hAnsi="Arial" w:cs="Arial"/>
                <w:sz w:val="20"/>
                <w:szCs w:val="20"/>
                <w:vertAlign w:val="superscript"/>
              </w:rPr>
              <w:t>th</w:t>
            </w:r>
            <w:r>
              <w:rPr>
                <w:rFonts w:ascii="Arial" w:hAnsi="Arial" w:cs="Arial"/>
                <w:sz w:val="20"/>
                <w:szCs w:val="20"/>
              </w:rPr>
              <w:t xml:space="preserve"> or better)</w:t>
            </w:r>
          </w:p>
        </w:tc>
        <w:tc>
          <w:tcPr>
            <w:tcW w:w="1701" w:type="dxa"/>
            <w:shd w:val="clear" w:color="auto" w:fill="6DF828"/>
          </w:tcPr>
          <w:p w14:paraId="6CB2EE9E"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73% (8</w:t>
            </w:r>
            <w:r w:rsidRPr="0040028B">
              <w:rPr>
                <w:rFonts w:ascii="Arial" w:hAnsi="Arial" w:cs="Arial"/>
                <w:sz w:val="20"/>
                <w:szCs w:val="20"/>
                <w:vertAlign w:val="superscript"/>
              </w:rPr>
              <w:t>TH</w:t>
            </w:r>
            <w:r>
              <w:rPr>
                <w:rFonts w:ascii="Arial" w:hAnsi="Arial" w:cs="Arial"/>
                <w:sz w:val="20"/>
                <w:szCs w:val="20"/>
              </w:rPr>
              <w:t>)</w:t>
            </w:r>
          </w:p>
        </w:tc>
      </w:tr>
      <w:tr w:rsidR="00B17961" w:rsidRPr="00C004AF" w14:paraId="78A5001C" w14:textId="77777777" w:rsidTr="00B17961">
        <w:trPr>
          <w:cantSplit/>
        </w:trPr>
        <w:tc>
          <w:tcPr>
            <w:tcW w:w="675" w:type="dxa"/>
          </w:tcPr>
          <w:p w14:paraId="6D717B73"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9</w:t>
            </w:r>
          </w:p>
        </w:tc>
        <w:tc>
          <w:tcPr>
            <w:tcW w:w="3289" w:type="dxa"/>
          </w:tcPr>
          <w:p w14:paraId="3599EBCE"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u w:val="single"/>
              </w:rPr>
              <w:t>Primary progress</w:t>
            </w:r>
            <w:r>
              <w:rPr>
                <w:rFonts w:ascii="Arial" w:hAnsi="Arial" w:cs="Arial"/>
                <w:sz w:val="20"/>
                <w:szCs w:val="20"/>
              </w:rPr>
              <w:t>:</w:t>
            </w:r>
            <w:r w:rsidRPr="00C004AF">
              <w:rPr>
                <w:rFonts w:ascii="Arial" w:hAnsi="Arial" w:cs="Arial"/>
                <w:sz w:val="20"/>
                <w:szCs w:val="20"/>
              </w:rPr>
              <w:t xml:space="preserve"> </w:t>
            </w:r>
          </w:p>
          <w:p w14:paraId="6CF80F95"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Percentage of Primary pupils achieving average progress in:</w:t>
            </w:r>
          </w:p>
          <w:p w14:paraId="037AA77E" w14:textId="77777777" w:rsidR="00B17961" w:rsidRPr="00C004AF" w:rsidRDefault="00B17961" w:rsidP="00A51784">
            <w:pPr>
              <w:pStyle w:val="ListParagraph"/>
              <w:numPr>
                <w:ilvl w:val="0"/>
                <w:numId w:val="3"/>
              </w:numPr>
              <w:spacing w:before="60" w:after="60"/>
              <w:contextualSpacing w:val="0"/>
              <w:rPr>
                <w:rFonts w:ascii="Arial" w:hAnsi="Arial" w:cs="Arial"/>
                <w:sz w:val="20"/>
                <w:szCs w:val="20"/>
              </w:rPr>
            </w:pPr>
            <w:r w:rsidRPr="00C004AF">
              <w:rPr>
                <w:rFonts w:ascii="Arial" w:hAnsi="Arial" w:cs="Arial"/>
                <w:sz w:val="20"/>
                <w:szCs w:val="20"/>
              </w:rPr>
              <w:t>English Reading</w:t>
            </w:r>
          </w:p>
          <w:p w14:paraId="137830AB" w14:textId="77777777" w:rsidR="00B17961" w:rsidRPr="00C004AF" w:rsidRDefault="00B17961" w:rsidP="00A51784">
            <w:pPr>
              <w:pStyle w:val="ListParagraph"/>
              <w:numPr>
                <w:ilvl w:val="0"/>
                <w:numId w:val="3"/>
              </w:numPr>
              <w:spacing w:before="60" w:after="60"/>
              <w:contextualSpacing w:val="0"/>
              <w:rPr>
                <w:rFonts w:ascii="Arial" w:hAnsi="Arial" w:cs="Arial"/>
                <w:sz w:val="20"/>
                <w:szCs w:val="20"/>
              </w:rPr>
            </w:pPr>
            <w:r w:rsidRPr="00C004AF">
              <w:rPr>
                <w:rFonts w:ascii="Arial" w:hAnsi="Arial" w:cs="Arial"/>
                <w:sz w:val="20"/>
                <w:szCs w:val="20"/>
              </w:rPr>
              <w:t>English Writing</w:t>
            </w:r>
          </w:p>
          <w:p w14:paraId="04EFC3D3" w14:textId="77777777" w:rsidR="00B17961" w:rsidRPr="00C004AF" w:rsidRDefault="00B17961" w:rsidP="00A51784">
            <w:pPr>
              <w:pStyle w:val="ListParagraph"/>
              <w:numPr>
                <w:ilvl w:val="0"/>
                <w:numId w:val="3"/>
              </w:numPr>
              <w:spacing w:before="60" w:after="60"/>
              <w:contextualSpacing w:val="0"/>
              <w:rPr>
                <w:rFonts w:ascii="Arial" w:hAnsi="Arial" w:cs="Arial"/>
                <w:sz w:val="20"/>
                <w:szCs w:val="20"/>
              </w:rPr>
            </w:pPr>
            <w:r w:rsidRPr="00C004AF">
              <w:rPr>
                <w:rFonts w:ascii="Arial" w:hAnsi="Arial" w:cs="Arial"/>
                <w:sz w:val="20"/>
                <w:szCs w:val="20"/>
              </w:rPr>
              <w:t>Maths</w:t>
            </w:r>
          </w:p>
        </w:tc>
        <w:tc>
          <w:tcPr>
            <w:tcW w:w="1843" w:type="dxa"/>
          </w:tcPr>
          <w:p w14:paraId="7D3835DD" w14:textId="77777777" w:rsidR="00B17961" w:rsidRDefault="00B17961" w:rsidP="00B17961">
            <w:pPr>
              <w:spacing w:before="60" w:after="60"/>
              <w:jc w:val="center"/>
              <w:rPr>
                <w:rFonts w:ascii="Arial" w:hAnsi="Arial" w:cs="Arial"/>
                <w:sz w:val="20"/>
                <w:szCs w:val="20"/>
              </w:rPr>
            </w:pPr>
          </w:p>
          <w:p w14:paraId="707752AC" w14:textId="77777777" w:rsidR="00B17961" w:rsidRDefault="00B17961" w:rsidP="00B17961">
            <w:pPr>
              <w:spacing w:before="60" w:after="60"/>
              <w:jc w:val="center"/>
              <w:rPr>
                <w:rFonts w:ascii="Arial" w:hAnsi="Arial" w:cs="Arial"/>
                <w:sz w:val="20"/>
                <w:szCs w:val="20"/>
              </w:rPr>
            </w:pPr>
          </w:p>
          <w:p w14:paraId="2CAB8633" w14:textId="77777777" w:rsidR="00B17961" w:rsidRDefault="00B17961" w:rsidP="00B17961">
            <w:pPr>
              <w:spacing w:before="60" w:after="60"/>
              <w:jc w:val="center"/>
              <w:rPr>
                <w:rFonts w:ascii="Arial" w:hAnsi="Arial" w:cs="Arial"/>
                <w:sz w:val="20"/>
                <w:szCs w:val="20"/>
              </w:rPr>
            </w:pPr>
          </w:p>
          <w:p w14:paraId="4B4813CA" w14:textId="77777777" w:rsidR="00B17961" w:rsidRDefault="00B17961" w:rsidP="00B17961">
            <w:pPr>
              <w:spacing w:before="60" w:after="60"/>
              <w:jc w:val="center"/>
              <w:rPr>
                <w:rFonts w:ascii="Arial" w:hAnsi="Arial" w:cs="Arial"/>
                <w:sz w:val="20"/>
                <w:szCs w:val="20"/>
              </w:rPr>
            </w:pPr>
            <w:r>
              <w:rPr>
                <w:rFonts w:ascii="Arial" w:hAnsi="Arial" w:cs="Arial"/>
                <w:sz w:val="20"/>
                <w:szCs w:val="20"/>
              </w:rPr>
              <w:t>1.5</w:t>
            </w:r>
          </w:p>
          <w:p w14:paraId="272C0E3E" w14:textId="77777777" w:rsidR="00B17961" w:rsidRDefault="00B17961" w:rsidP="00B17961">
            <w:pPr>
              <w:spacing w:before="60" w:after="60"/>
              <w:jc w:val="center"/>
              <w:rPr>
                <w:rFonts w:ascii="Arial" w:hAnsi="Arial" w:cs="Arial"/>
                <w:sz w:val="20"/>
                <w:szCs w:val="20"/>
              </w:rPr>
            </w:pPr>
            <w:r>
              <w:rPr>
                <w:rFonts w:ascii="Arial" w:hAnsi="Arial" w:cs="Arial"/>
                <w:sz w:val="20"/>
                <w:szCs w:val="20"/>
              </w:rPr>
              <w:t>0.3</w:t>
            </w:r>
          </w:p>
          <w:p w14:paraId="602B1C8A"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1.7</w:t>
            </w:r>
          </w:p>
        </w:tc>
        <w:tc>
          <w:tcPr>
            <w:tcW w:w="1559" w:type="dxa"/>
          </w:tcPr>
          <w:p w14:paraId="70F2C6ED" w14:textId="77777777" w:rsidR="00B17961" w:rsidRDefault="00B17961" w:rsidP="00B17961">
            <w:pPr>
              <w:spacing w:before="120" w:after="60"/>
              <w:jc w:val="center"/>
              <w:rPr>
                <w:rFonts w:ascii="Arial" w:hAnsi="Arial" w:cs="Arial"/>
                <w:sz w:val="20"/>
                <w:szCs w:val="20"/>
              </w:rPr>
            </w:pPr>
            <w:r>
              <w:rPr>
                <w:rFonts w:ascii="Arial" w:hAnsi="Arial" w:cs="Arial"/>
                <w:sz w:val="20"/>
                <w:szCs w:val="20"/>
              </w:rPr>
              <w:t>Top 10% (ranked 15</w:t>
            </w:r>
            <w:r w:rsidRPr="003B1D70">
              <w:rPr>
                <w:rFonts w:ascii="Arial" w:hAnsi="Arial" w:cs="Arial"/>
                <w:sz w:val="20"/>
                <w:szCs w:val="20"/>
                <w:vertAlign w:val="superscript"/>
              </w:rPr>
              <w:t>th</w:t>
            </w:r>
            <w:r>
              <w:rPr>
                <w:rFonts w:ascii="Arial" w:hAnsi="Arial" w:cs="Arial"/>
                <w:sz w:val="20"/>
                <w:szCs w:val="20"/>
              </w:rPr>
              <w:t xml:space="preserve"> or better)</w:t>
            </w:r>
          </w:p>
          <w:p w14:paraId="2CC66869" w14:textId="77777777" w:rsidR="00B17961" w:rsidRDefault="00B17961" w:rsidP="00B17961">
            <w:pPr>
              <w:spacing w:before="60" w:after="60"/>
              <w:jc w:val="center"/>
              <w:rPr>
                <w:rFonts w:ascii="Arial" w:hAnsi="Arial" w:cs="Arial"/>
                <w:sz w:val="20"/>
                <w:szCs w:val="20"/>
              </w:rPr>
            </w:pPr>
            <w:r>
              <w:rPr>
                <w:rFonts w:ascii="Arial" w:hAnsi="Arial" w:cs="Arial"/>
                <w:sz w:val="20"/>
                <w:szCs w:val="20"/>
              </w:rPr>
              <w:t>1.8</w:t>
            </w:r>
          </w:p>
          <w:p w14:paraId="52A056CA" w14:textId="77777777" w:rsidR="00B17961" w:rsidRDefault="00B17961" w:rsidP="00B17961">
            <w:pPr>
              <w:spacing w:before="60" w:after="60"/>
              <w:jc w:val="center"/>
              <w:rPr>
                <w:rFonts w:ascii="Arial" w:hAnsi="Arial" w:cs="Arial"/>
                <w:sz w:val="20"/>
                <w:szCs w:val="20"/>
              </w:rPr>
            </w:pPr>
            <w:r>
              <w:rPr>
                <w:rFonts w:ascii="Arial" w:hAnsi="Arial" w:cs="Arial"/>
                <w:sz w:val="20"/>
                <w:szCs w:val="20"/>
              </w:rPr>
              <w:t>0.6</w:t>
            </w:r>
          </w:p>
          <w:p w14:paraId="6C2E6AA2"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1.8</w:t>
            </w:r>
          </w:p>
        </w:tc>
        <w:tc>
          <w:tcPr>
            <w:tcW w:w="1701" w:type="dxa"/>
            <w:shd w:val="clear" w:color="auto" w:fill="6DF828"/>
          </w:tcPr>
          <w:p w14:paraId="4BBDAE3B" w14:textId="77777777" w:rsidR="00B17961" w:rsidRDefault="00B17961" w:rsidP="00B17961">
            <w:pPr>
              <w:spacing w:before="60" w:after="60"/>
              <w:jc w:val="center"/>
              <w:rPr>
                <w:rFonts w:ascii="Arial" w:hAnsi="Arial" w:cs="Arial"/>
                <w:sz w:val="20"/>
                <w:szCs w:val="20"/>
              </w:rPr>
            </w:pPr>
          </w:p>
          <w:p w14:paraId="46D1DE22" w14:textId="77777777" w:rsidR="00B17961" w:rsidRDefault="00B17961" w:rsidP="00B17961">
            <w:pPr>
              <w:spacing w:before="60" w:after="60"/>
              <w:jc w:val="center"/>
              <w:rPr>
                <w:rFonts w:ascii="Arial" w:hAnsi="Arial" w:cs="Arial"/>
                <w:sz w:val="20"/>
                <w:szCs w:val="20"/>
              </w:rPr>
            </w:pPr>
          </w:p>
          <w:p w14:paraId="7C4389E0" w14:textId="77777777" w:rsidR="00B17961" w:rsidRDefault="00B17961" w:rsidP="00B17961">
            <w:pPr>
              <w:spacing w:before="60" w:after="60"/>
              <w:jc w:val="center"/>
              <w:rPr>
                <w:rFonts w:ascii="Arial" w:hAnsi="Arial" w:cs="Arial"/>
                <w:sz w:val="20"/>
                <w:szCs w:val="20"/>
              </w:rPr>
            </w:pPr>
          </w:p>
          <w:p w14:paraId="460D5A2C" w14:textId="77777777" w:rsidR="00B17961" w:rsidRDefault="00B17961" w:rsidP="00B17961">
            <w:pPr>
              <w:spacing w:before="60" w:after="60"/>
              <w:jc w:val="center"/>
              <w:rPr>
                <w:rFonts w:ascii="Arial" w:hAnsi="Arial" w:cs="Arial"/>
                <w:sz w:val="20"/>
                <w:szCs w:val="20"/>
              </w:rPr>
            </w:pPr>
            <w:r>
              <w:rPr>
                <w:rFonts w:ascii="Arial" w:hAnsi="Arial" w:cs="Arial"/>
                <w:sz w:val="20"/>
                <w:szCs w:val="20"/>
              </w:rPr>
              <w:t>2</w:t>
            </w:r>
            <w:r w:rsidRPr="00E72497">
              <w:rPr>
                <w:rFonts w:ascii="Arial" w:hAnsi="Arial" w:cs="Arial"/>
                <w:sz w:val="20"/>
                <w:szCs w:val="20"/>
                <w:vertAlign w:val="superscript"/>
              </w:rPr>
              <w:t>nd</w:t>
            </w:r>
          </w:p>
          <w:p w14:paraId="0949374F" w14:textId="77777777" w:rsidR="00B17961" w:rsidRPr="0040028B" w:rsidRDefault="00B17961" w:rsidP="00B17961">
            <w:pPr>
              <w:spacing w:before="60" w:after="60"/>
              <w:jc w:val="center"/>
              <w:rPr>
                <w:rFonts w:ascii="Arial" w:hAnsi="Arial" w:cs="Arial"/>
                <w:b/>
                <w:color w:val="FF0000"/>
                <w:sz w:val="20"/>
                <w:szCs w:val="20"/>
              </w:rPr>
            </w:pPr>
            <w:r w:rsidRPr="0040028B">
              <w:rPr>
                <w:rFonts w:ascii="Arial" w:hAnsi="Arial" w:cs="Arial"/>
                <w:b/>
                <w:color w:val="FF0000"/>
                <w:sz w:val="20"/>
                <w:szCs w:val="20"/>
              </w:rPr>
              <w:t>42</w:t>
            </w:r>
            <w:r w:rsidRPr="0040028B">
              <w:rPr>
                <w:rFonts w:ascii="Arial" w:hAnsi="Arial" w:cs="Arial"/>
                <w:b/>
                <w:color w:val="FF0000"/>
                <w:sz w:val="20"/>
                <w:szCs w:val="20"/>
                <w:vertAlign w:val="superscript"/>
              </w:rPr>
              <w:t>nd</w:t>
            </w:r>
          </w:p>
          <w:p w14:paraId="58DB85B3"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8</w:t>
            </w:r>
            <w:r w:rsidRPr="00E72497">
              <w:rPr>
                <w:rFonts w:ascii="Arial" w:hAnsi="Arial" w:cs="Arial"/>
                <w:sz w:val="20"/>
                <w:szCs w:val="20"/>
                <w:vertAlign w:val="superscript"/>
              </w:rPr>
              <w:t>th</w:t>
            </w:r>
            <w:r>
              <w:rPr>
                <w:rFonts w:ascii="Arial" w:hAnsi="Arial" w:cs="Arial"/>
                <w:sz w:val="20"/>
                <w:szCs w:val="20"/>
              </w:rPr>
              <w:t xml:space="preserve"> </w:t>
            </w:r>
          </w:p>
        </w:tc>
      </w:tr>
      <w:tr w:rsidR="00B17961" w:rsidRPr="00C004AF" w14:paraId="5B53B64C" w14:textId="77777777" w:rsidTr="00B17961">
        <w:trPr>
          <w:cantSplit/>
        </w:trPr>
        <w:tc>
          <w:tcPr>
            <w:tcW w:w="675" w:type="dxa"/>
          </w:tcPr>
          <w:p w14:paraId="6D023B70" w14:textId="77777777" w:rsidR="00B17961" w:rsidRPr="00C004AF" w:rsidRDefault="00B17961" w:rsidP="00B17961">
            <w:pPr>
              <w:spacing w:before="60" w:after="60"/>
              <w:rPr>
                <w:rFonts w:ascii="Arial" w:hAnsi="Arial" w:cs="Arial"/>
                <w:sz w:val="20"/>
                <w:szCs w:val="20"/>
              </w:rPr>
            </w:pPr>
            <w:bookmarkStart w:id="1" w:name="_Hlk2347834"/>
            <w:r w:rsidRPr="00C004AF">
              <w:rPr>
                <w:rFonts w:ascii="Arial" w:hAnsi="Arial" w:cs="Arial"/>
                <w:sz w:val="20"/>
                <w:szCs w:val="20"/>
              </w:rPr>
              <w:t>1</w:t>
            </w:r>
            <w:r>
              <w:rPr>
                <w:rFonts w:ascii="Arial" w:hAnsi="Arial" w:cs="Arial"/>
                <w:sz w:val="20"/>
                <w:szCs w:val="20"/>
              </w:rPr>
              <w:t>0</w:t>
            </w:r>
          </w:p>
        </w:tc>
        <w:tc>
          <w:tcPr>
            <w:tcW w:w="3289" w:type="dxa"/>
          </w:tcPr>
          <w:p w14:paraId="09AF2EE7" w14:textId="77777777" w:rsidR="00B17961" w:rsidRPr="00C004AF" w:rsidRDefault="00B17961" w:rsidP="00B17961">
            <w:pPr>
              <w:spacing w:before="60" w:after="60"/>
              <w:rPr>
                <w:rFonts w:ascii="Arial" w:hAnsi="Arial" w:cs="Arial"/>
                <w:sz w:val="20"/>
                <w:szCs w:val="20"/>
                <w:u w:val="single"/>
              </w:rPr>
            </w:pPr>
            <w:r w:rsidRPr="00C004AF">
              <w:rPr>
                <w:rFonts w:ascii="Arial" w:hAnsi="Arial" w:cs="Arial"/>
                <w:sz w:val="20"/>
                <w:szCs w:val="20"/>
                <w:u w:val="single"/>
              </w:rPr>
              <w:t>Secondary attainment and progress (GCSEs):</w:t>
            </w:r>
          </w:p>
          <w:p w14:paraId="20A70719" w14:textId="77777777" w:rsidR="00B17961" w:rsidRPr="00C004AF" w:rsidRDefault="00B17961" w:rsidP="00B17961">
            <w:pPr>
              <w:spacing w:before="60" w:after="60"/>
              <w:rPr>
                <w:rFonts w:ascii="Arial" w:hAnsi="Arial" w:cs="Arial"/>
                <w:sz w:val="20"/>
                <w:szCs w:val="20"/>
              </w:rPr>
            </w:pPr>
            <w:proofErr w:type="spellStart"/>
            <w:proofErr w:type="gramStart"/>
            <w:r w:rsidRPr="00C004AF">
              <w:rPr>
                <w:rFonts w:ascii="Arial" w:hAnsi="Arial" w:cs="Arial"/>
                <w:sz w:val="20"/>
                <w:szCs w:val="20"/>
              </w:rPr>
              <w:t>a</w:t>
            </w:r>
            <w:proofErr w:type="spellEnd"/>
            <w:r w:rsidRPr="00C004AF">
              <w:rPr>
                <w:rFonts w:ascii="Arial" w:hAnsi="Arial" w:cs="Arial"/>
                <w:sz w:val="20"/>
                <w:szCs w:val="20"/>
              </w:rPr>
              <w:t xml:space="preserve">  Average</w:t>
            </w:r>
            <w:proofErr w:type="gramEnd"/>
            <w:r w:rsidRPr="00C004AF">
              <w:rPr>
                <w:rFonts w:ascii="Arial" w:hAnsi="Arial" w:cs="Arial"/>
                <w:sz w:val="20"/>
                <w:szCs w:val="20"/>
              </w:rPr>
              <w:t xml:space="preserve"> Attainment 8 Score</w:t>
            </w:r>
          </w:p>
          <w:p w14:paraId="42C7FFE1" w14:textId="77777777" w:rsidR="00B17961" w:rsidRPr="00C004AF" w:rsidRDefault="00B17961" w:rsidP="00B17961">
            <w:pPr>
              <w:spacing w:before="60" w:after="60"/>
              <w:rPr>
                <w:rFonts w:ascii="Arial" w:hAnsi="Arial" w:cs="Arial"/>
                <w:sz w:val="20"/>
                <w:szCs w:val="20"/>
              </w:rPr>
            </w:pPr>
            <w:proofErr w:type="gramStart"/>
            <w:r w:rsidRPr="00C004AF">
              <w:rPr>
                <w:rFonts w:ascii="Arial" w:hAnsi="Arial" w:cs="Arial"/>
                <w:sz w:val="20"/>
                <w:szCs w:val="20"/>
              </w:rPr>
              <w:t>b  Average</w:t>
            </w:r>
            <w:proofErr w:type="gramEnd"/>
            <w:r w:rsidRPr="00C004AF">
              <w:rPr>
                <w:rFonts w:ascii="Arial" w:hAnsi="Arial" w:cs="Arial"/>
                <w:sz w:val="20"/>
                <w:szCs w:val="20"/>
              </w:rPr>
              <w:t xml:space="preserve"> Progress 8 Score</w:t>
            </w:r>
          </w:p>
          <w:p w14:paraId="0DB0449E" w14:textId="77777777" w:rsidR="00B17961" w:rsidRPr="00C004AF" w:rsidRDefault="00B17961" w:rsidP="00B17961">
            <w:pPr>
              <w:spacing w:before="60" w:after="60"/>
              <w:rPr>
                <w:rFonts w:ascii="Arial" w:hAnsi="Arial" w:cs="Arial"/>
                <w:sz w:val="20"/>
                <w:szCs w:val="20"/>
              </w:rPr>
            </w:pPr>
            <w:proofErr w:type="gramStart"/>
            <w:r w:rsidRPr="00C004AF">
              <w:rPr>
                <w:rFonts w:ascii="Arial" w:hAnsi="Arial" w:cs="Arial"/>
                <w:sz w:val="20"/>
                <w:szCs w:val="20"/>
              </w:rPr>
              <w:t>c  Percentage</w:t>
            </w:r>
            <w:proofErr w:type="gramEnd"/>
            <w:r w:rsidRPr="00C004AF">
              <w:rPr>
                <w:rFonts w:ascii="Arial" w:hAnsi="Arial" w:cs="Arial"/>
                <w:sz w:val="20"/>
                <w:szCs w:val="20"/>
              </w:rPr>
              <w:t xml:space="preserve"> of pupils achieving the threshold in English and mathematics (In 2016, the threshold is grade C, in 2017 the threshold is grade 5)</w:t>
            </w:r>
          </w:p>
          <w:p w14:paraId="3E4507C3" w14:textId="77777777" w:rsidR="00B17961" w:rsidRPr="00C004AF" w:rsidRDefault="00B17961" w:rsidP="00B17961">
            <w:pPr>
              <w:spacing w:before="60" w:after="60"/>
              <w:rPr>
                <w:rFonts w:ascii="Arial" w:hAnsi="Arial" w:cs="Arial"/>
                <w:sz w:val="20"/>
                <w:szCs w:val="20"/>
              </w:rPr>
            </w:pPr>
            <w:proofErr w:type="gramStart"/>
            <w:r w:rsidRPr="00C004AF">
              <w:rPr>
                <w:rFonts w:ascii="Arial" w:hAnsi="Arial" w:cs="Arial"/>
                <w:sz w:val="20"/>
                <w:szCs w:val="20"/>
              </w:rPr>
              <w:t>d  Percentage</w:t>
            </w:r>
            <w:proofErr w:type="gramEnd"/>
            <w:r w:rsidRPr="00C004AF">
              <w:rPr>
                <w:rFonts w:ascii="Arial" w:hAnsi="Arial" w:cs="Arial"/>
                <w:sz w:val="20"/>
                <w:szCs w:val="20"/>
              </w:rPr>
              <w:t xml:space="preserve"> of pupils achieving the English Baccalaureate</w:t>
            </w:r>
          </w:p>
        </w:tc>
        <w:tc>
          <w:tcPr>
            <w:tcW w:w="1843" w:type="dxa"/>
          </w:tcPr>
          <w:p w14:paraId="79479DAD" w14:textId="77777777" w:rsidR="00B17961" w:rsidRDefault="00B17961" w:rsidP="00B17961">
            <w:pPr>
              <w:spacing w:before="60" w:after="60"/>
              <w:jc w:val="center"/>
              <w:rPr>
                <w:rFonts w:ascii="Arial" w:hAnsi="Arial" w:cs="Arial"/>
                <w:sz w:val="20"/>
                <w:szCs w:val="20"/>
              </w:rPr>
            </w:pPr>
          </w:p>
          <w:p w14:paraId="4B78EDE2" w14:textId="77777777" w:rsidR="00B17961" w:rsidRDefault="00B17961" w:rsidP="00B17961">
            <w:pPr>
              <w:spacing w:before="60" w:after="60"/>
              <w:jc w:val="center"/>
              <w:rPr>
                <w:rFonts w:ascii="Arial" w:hAnsi="Arial" w:cs="Arial"/>
                <w:sz w:val="20"/>
                <w:szCs w:val="20"/>
              </w:rPr>
            </w:pPr>
          </w:p>
          <w:p w14:paraId="794AD0A3" w14:textId="77777777" w:rsidR="00B17961" w:rsidRDefault="00B17961" w:rsidP="00B17961">
            <w:pPr>
              <w:spacing w:before="60" w:after="60"/>
              <w:jc w:val="center"/>
              <w:rPr>
                <w:rFonts w:ascii="Arial" w:hAnsi="Arial" w:cs="Arial"/>
                <w:sz w:val="20"/>
                <w:szCs w:val="20"/>
              </w:rPr>
            </w:pPr>
            <w:r>
              <w:rPr>
                <w:rFonts w:ascii="Arial" w:hAnsi="Arial" w:cs="Arial"/>
                <w:sz w:val="20"/>
                <w:szCs w:val="20"/>
              </w:rPr>
              <w:t>56.1</w:t>
            </w:r>
          </w:p>
          <w:p w14:paraId="4632FFBD" w14:textId="77777777" w:rsidR="00B17961" w:rsidRDefault="00B17961" w:rsidP="00B17961">
            <w:pPr>
              <w:spacing w:before="60" w:after="60"/>
              <w:jc w:val="center"/>
              <w:rPr>
                <w:rFonts w:ascii="Arial" w:hAnsi="Arial" w:cs="Arial"/>
                <w:sz w:val="20"/>
                <w:szCs w:val="20"/>
              </w:rPr>
            </w:pPr>
            <w:r>
              <w:rPr>
                <w:rFonts w:ascii="Arial" w:hAnsi="Arial" w:cs="Arial"/>
                <w:sz w:val="20"/>
                <w:szCs w:val="20"/>
              </w:rPr>
              <w:t>0.33</w:t>
            </w:r>
          </w:p>
          <w:p w14:paraId="2D89DFAF" w14:textId="77777777" w:rsidR="00B17961" w:rsidRDefault="00B17961" w:rsidP="00B17961">
            <w:pPr>
              <w:spacing w:before="60" w:after="60"/>
              <w:jc w:val="center"/>
              <w:rPr>
                <w:rFonts w:ascii="Arial" w:hAnsi="Arial" w:cs="Arial"/>
                <w:sz w:val="20"/>
                <w:szCs w:val="20"/>
              </w:rPr>
            </w:pPr>
          </w:p>
          <w:p w14:paraId="1D57173D" w14:textId="77777777" w:rsidR="00B17961" w:rsidRDefault="00B17961" w:rsidP="00B17961">
            <w:pPr>
              <w:spacing w:before="60" w:after="60"/>
              <w:jc w:val="center"/>
              <w:rPr>
                <w:rFonts w:ascii="Arial" w:hAnsi="Arial" w:cs="Arial"/>
                <w:sz w:val="20"/>
                <w:szCs w:val="20"/>
              </w:rPr>
            </w:pPr>
          </w:p>
          <w:p w14:paraId="312350C2" w14:textId="77777777" w:rsidR="00B17961" w:rsidRDefault="00B17961" w:rsidP="00B17961">
            <w:pPr>
              <w:spacing w:before="60" w:after="60"/>
              <w:jc w:val="center"/>
              <w:rPr>
                <w:rFonts w:ascii="Arial" w:hAnsi="Arial" w:cs="Arial"/>
                <w:sz w:val="20"/>
                <w:szCs w:val="20"/>
              </w:rPr>
            </w:pPr>
            <w:r>
              <w:rPr>
                <w:rFonts w:ascii="Arial" w:hAnsi="Arial" w:cs="Arial"/>
                <w:sz w:val="20"/>
                <w:szCs w:val="20"/>
              </w:rPr>
              <w:t>73.1</w:t>
            </w:r>
          </w:p>
          <w:p w14:paraId="32DDF4E6" w14:textId="77777777" w:rsidR="00B17961" w:rsidRDefault="00B17961" w:rsidP="00B17961">
            <w:pPr>
              <w:spacing w:before="60" w:after="60"/>
              <w:jc w:val="center"/>
              <w:rPr>
                <w:rFonts w:ascii="Arial" w:hAnsi="Arial" w:cs="Arial"/>
                <w:sz w:val="20"/>
                <w:szCs w:val="20"/>
              </w:rPr>
            </w:pPr>
          </w:p>
          <w:p w14:paraId="0808EDE8"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43.7</w:t>
            </w:r>
          </w:p>
        </w:tc>
        <w:tc>
          <w:tcPr>
            <w:tcW w:w="1559" w:type="dxa"/>
          </w:tcPr>
          <w:p w14:paraId="599B824B"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Top 10% (ranked 15</w:t>
            </w:r>
            <w:r w:rsidRPr="003B1D70">
              <w:rPr>
                <w:rFonts w:ascii="Arial" w:hAnsi="Arial" w:cs="Arial"/>
                <w:sz w:val="20"/>
                <w:szCs w:val="20"/>
                <w:vertAlign w:val="superscript"/>
              </w:rPr>
              <w:t>th</w:t>
            </w:r>
            <w:r>
              <w:rPr>
                <w:rFonts w:ascii="Arial" w:hAnsi="Arial" w:cs="Arial"/>
                <w:sz w:val="20"/>
                <w:szCs w:val="20"/>
              </w:rPr>
              <w:t xml:space="preserve"> or better)</w:t>
            </w:r>
          </w:p>
        </w:tc>
        <w:tc>
          <w:tcPr>
            <w:tcW w:w="1701" w:type="dxa"/>
            <w:shd w:val="clear" w:color="auto" w:fill="6DF828"/>
          </w:tcPr>
          <w:p w14:paraId="3DE26D1C" w14:textId="77777777" w:rsidR="00B17961" w:rsidRDefault="00B17961" w:rsidP="00B17961">
            <w:pPr>
              <w:spacing w:before="60" w:after="60"/>
              <w:jc w:val="center"/>
              <w:rPr>
                <w:rFonts w:ascii="Arial" w:hAnsi="Arial" w:cs="Arial"/>
                <w:sz w:val="20"/>
                <w:szCs w:val="20"/>
              </w:rPr>
            </w:pPr>
          </w:p>
          <w:p w14:paraId="32809A4C" w14:textId="77777777" w:rsidR="00B17961" w:rsidRDefault="00B17961" w:rsidP="00B17961">
            <w:pPr>
              <w:spacing w:before="60" w:after="60"/>
              <w:jc w:val="center"/>
              <w:rPr>
                <w:rFonts w:ascii="Arial" w:hAnsi="Arial" w:cs="Arial"/>
                <w:sz w:val="20"/>
                <w:szCs w:val="20"/>
              </w:rPr>
            </w:pPr>
          </w:p>
          <w:p w14:paraId="0AAC2842" w14:textId="77777777" w:rsidR="00B17961" w:rsidRDefault="00B17961" w:rsidP="00B17961">
            <w:pPr>
              <w:spacing w:before="60" w:after="60"/>
              <w:jc w:val="center"/>
              <w:rPr>
                <w:rFonts w:ascii="Arial" w:hAnsi="Arial" w:cs="Arial"/>
                <w:sz w:val="20"/>
                <w:szCs w:val="20"/>
              </w:rPr>
            </w:pPr>
            <w:r>
              <w:rPr>
                <w:rFonts w:ascii="Arial" w:hAnsi="Arial" w:cs="Arial"/>
                <w:sz w:val="20"/>
                <w:szCs w:val="20"/>
              </w:rPr>
              <w:t>56 (5</w:t>
            </w:r>
            <w:r w:rsidRPr="00E72497">
              <w:rPr>
                <w:rFonts w:ascii="Arial" w:hAnsi="Arial" w:cs="Arial"/>
                <w:sz w:val="20"/>
                <w:szCs w:val="20"/>
                <w:vertAlign w:val="superscript"/>
              </w:rPr>
              <w:t>th</w:t>
            </w:r>
            <w:r>
              <w:rPr>
                <w:rFonts w:ascii="Arial" w:hAnsi="Arial" w:cs="Arial"/>
                <w:sz w:val="20"/>
                <w:szCs w:val="20"/>
              </w:rPr>
              <w:t>)</w:t>
            </w:r>
          </w:p>
          <w:p w14:paraId="09912CDE" w14:textId="77777777" w:rsidR="00B17961" w:rsidRDefault="00B17961" w:rsidP="00B17961">
            <w:pPr>
              <w:spacing w:before="60" w:after="60"/>
              <w:jc w:val="center"/>
              <w:rPr>
                <w:rFonts w:ascii="Arial" w:hAnsi="Arial" w:cs="Arial"/>
                <w:sz w:val="20"/>
                <w:szCs w:val="20"/>
              </w:rPr>
            </w:pPr>
            <w:r>
              <w:rPr>
                <w:rFonts w:ascii="Arial" w:hAnsi="Arial" w:cs="Arial"/>
                <w:sz w:val="20"/>
                <w:szCs w:val="20"/>
              </w:rPr>
              <w:t>0.57 (2</w:t>
            </w:r>
            <w:r w:rsidRPr="00E72497">
              <w:rPr>
                <w:rFonts w:ascii="Arial" w:hAnsi="Arial" w:cs="Arial"/>
                <w:sz w:val="20"/>
                <w:szCs w:val="20"/>
                <w:vertAlign w:val="superscript"/>
              </w:rPr>
              <w:t>nd</w:t>
            </w:r>
            <w:r>
              <w:rPr>
                <w:rFonts w:ascii="Arial" w:hAnsi="Arial" w:cs="Arial"/>
                <w:sz w:val="20"/>
                <w:szCs w:val="20"/>
              </w:rPr>
              <w:t>)</w:t>
            </w:r>
          </w:p>
          <w:p w14:paraId="2172FFAA" w14:textId="77777777" w:rsidR="00B17961" w:rsidRDefault="00B17961" w:rsidP="00B17961">
            <w:pPr>
              <w:spacing w:before="60" w:after="60"/>
              <w:jc w:val="center"/>
              <w:rPr>
                <w:rFonts w:ascii="Arial" w:hAnsi="Arial" w:cs="Arial"/>
                <w:sz w:val="20"/>
                <w:szCs w:val="20"/>
              </w:rPr>
            </w:pPr>
          </w:p>
          <w:p w14:paraId="53C6ED61" w14:textId="77777777" w:rsidR="00B17961" w:rsidRDefault="00B17961" w:rsidP="00B17961">
            <w:pPr>
              <w:spacing w:before="60" w:after="60"/>
              <w:jc w:val="center"/>
              <w:rPr>
                <w:rFonts w:ascii="Arial" w:hAnsi="Arial" w:cs="Arial"/>
                <w:sz w:val="20"/>
                <w:szCs w:val="20"/>
              </w:rPr>
            </w:pPr>
          </w:p>
          <w:p w14:paraId="118D8D2A" w14:textId="77777777" w:rsidR="00B17961" w:rsidRDefault="00B17961" w:rsidP="00B17961">
            <w:pPr>
              <w:spacing w:before="60" w:after="60"/>
              <w:jc w:val="center"/>
              <w:rPr>
                <w:rFonts w:ascii="Arial" w:hAnsi="Arial" w:cs="Arial"/>
                <w:sz w:val="20"/>
                <w:szCs w:val="20"/>
              </w:rPr>
            </w:pPr>
            <w:r>
              <w:rPr>
                <w:rFonts w:ascii="Arial" w:hAnsi="Arial" w:cs="Arial"/>
                <w:sz w:val="20"/>
                <w:szCs w:val="20"/>
              </w:rPr>
              <w:t>60.6 (5</w:t>
            </w:r>
            <w:r w:rsidRPr="00E72497">
              <w:rPr>
                <w:rFonts w:ascii="Arial" w:hAnsi="Arial" w:cs="Arial"/>
                <w:sz w:val="20"/>
                <w:szCs w:val="20"/>
                <w:vertAlign w:val="superscript"/>
              </w:rPr>
              <w:t>th</w:t>
            </w:r>
            <w:r>
              <w:rPr>
                <w:rFonts w:ascii="Arial" w:hAnsi="Arial" w:cs="Arial"/>
                <w:sz w:val="20"/>
                <w:szCs w:val="20"/>
              </w:rPr>
              <w:t>)</w:t>
            </w:r>
          </w:p>
          <w:p w14:paraId="7E6D3F73" w14:textId="77777777" w:rsidR="00B17961" w:rsidRDefault="00B17961" w:rsidP="00B17961">
            <w:pPr>
              <w:spacing w:before="60" w:after="60"/>
              <w:jc w:val="center"/>
              <w:rPr>
                <w:rFonts w:ascii="Arial" w:hAnsi="Arial" w:cs="Arial"/>
                <w:sz w:val="20"/>
                <w:szCs w:val="20"/>
              </w:rPr>
            </w:pPr>
          </w:p>
          <w:p w14:paraId="40280BA6"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37.3 (4</w:t>
            </w:r>
            <w:r w:rsidRPr="00E72497">
              <w:rPr>
                <w:rFonts w:ascii="Arial" w:hAnsi="Arial" w:cs="Arial"/>
                <w:sz w:val="20"/>
                <w:szCs w:val="20"/>
                <w:vertAlign w:val="superscript"/>
              </w:rPr>
              <w:t>th</w:t>
            </w:r>
            <w:r>
              <w:rPr>
                <w:rFonts w:ascii="Arial" w:hAnsi="Arial" w:cs="Arial"/>
                <w:sz w:val="20"/>
                <w:szCs w:val="20"/>
              </w:rPr>
              <w:t>)</w:t>
            </w:r>
          </w:p>
        </w:tc>
      </w:tr>
      <w:bookmarkEnd w:id="1"/>
      <w:tr w:rsidR="00B17961" w:rsidRPr="00C004AF" w14:paraId="0BC5EF7D" w14:textId="77777777" w:rsidTr="00B17961">
        <w:trPr>
          <w:cantSplit/>
        </w:trPr>
        <w:tc>
          <w:tcPr>
            <w:tcW w:w="675" w:type="dxa"/>
          </w:tcPr>
          <w:p w14:paraId="35855707"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11</w:t>
            </w:r>
          </w:p>
        </w:tc>
        <w:tc>
          <w:tcPr>
            <w:tcW w:w="3289" w:type="dxa"/>
          </w:tcPr>
          <w:p w14:paraId="57688414" w14:textId="77777777" w:rsidR="00B17961" w:rsidRPr="00C004AF" w:rsidRDefault="00B17961" w:rsidP="00B17961">
            <w:pPr>
              <w:tabs>
                <w:tab w:val="left" w:pos="1147"/>
              </w:tabs>
              <w:spacing w:before="60" w:after="60"/>
              <w:rPr>
                <w:rFonts w:ascii="Arial" w:hAnsi="Arial" w:cs="Arial"/>
                <w:sz w:val="20"/>
                <w:szCs w:val="20"/>
                <w:u w:val="single"/>
              </w:rPr>
            </w:pPr>
            <w:r w:rsidRPr="00C004AF">
              <w:rPr>
                <w:rFonts w:ascii="Arial" w:hAnsi="Arial" w:cs="Arial"/>
                <w:sz w:val="20"/>
                <w:szCs w:val="20"/>
                <w:u w:val="single"/>
              </w:rPr>
              <w:t>Narrowing the Primary FSM (disadvantaged) gap and FSM (disadvantaged) attainmen</w:t>
            </w:r>
            <w:r>
              <w:rPr>
                <w:rFonts w:ascii="Arial" w:hAnsi="Arial" w:cs="Arial"/>
                <w:sz w:val="20"/>
                <w:szCs w:val="20"/>
                <w:u w:val="single"/>
              </w:rPr>
              <w:t>t:</w:t>
            </w:r>
            <w:r w:rsidRPr="00C004AF">
              <w:rPr>
                <w:rFonts w:ascii="Arial" w:hAnsi="Arial" w:cs="Arial"/>
                <w:sz w:val="20"/>
                <w:szCs w:val="20"/>
                <w:u w:val="single"/>
              </w:rPr>
              <w:t xml:space="preserve"> </w:t>
            </w:r>
          </w:p>
          <w:p w14:paraId="5F9FD99E"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a: % of disadvantaged pupils (this includes Free School Meal 6 and Children Looked After pupils) achieving the ‘expected standard’ in English Reading, English Writing and Mathematics (combined) at the end of Key Stage 2</w:t>
            </w:r>
          </w:p>
          <w:p w14:paraId="126C60E3"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 xml:space="preserve">AND </w:t>
            </w:r>
          </w:p>
          <w:p w14:paraId="62CD99D0"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b: Difference between attainment level of disadvantaged pupils (this includes FSM 6 and CLA pupils) and their peers</w:t>
            </w:r>
            <w:r>
              <w:rPr>
                <w:rFonts w:ascii="Arial" w:hAnsi="Arial" w:cs="Arial"/>
                <w:sz w:val="20"/>
                <w:szCs w:val="20"/>
              </w:rPr>
              <w:t xml:space="preserve"> nationally</w:t>
            </w:r>
            <w:r w:rsidRPr="00C004AF">
              <w:rPr>
                <w:rFonts w:ascii="Arial" w:hAnsi="Arial" w:cs="Arial"/>
                <w:sz w:val="20"/>
                <w:szCs w:val="20"/>
              </w:rPr>
              <w:t xml:space="preserve"> (‘expected standard’ in RWM combined) at the end of Key Stage 2</w:t>
            </w:r>
          </w:p>
        </w:tc>
        <w:tc>
          <w:tcPr>
            <w:tcW w:w="1843" w:type="dxa"/>
          </w:tcPr>
          <w:p w14:paraId="0492A6FE"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N/A</w:t>
            </w:r>
            <w:r w:rsidRPr="00C004AF">
              <w:rPr>
                <w:rFonts w:ascii="Arial" w:hAnsi="Arial" w:cs="Arial"/>
                <w:sz w:val="20"/>
                <w:szCs w:val="20"/>
              </w:rPr>
              <w:t xml:space="preserve"> – new measures</w:t>
            </w:r>
          </w:p>
        </w:tc>
        <w:tc>
          <w:tcPr>
            <w:tcW w:w="1559" w:type="dxa"/>
          </w:tcPr>
          <w:p w14:paraId="091D1D5E"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Top 10% (ranked 15</w:t>
            </w:r>
            <w:r w:rsidRPr="003B1D70">
              <w:rPr>
                <w:rFonts w:ascii="Arial" w:hAnsi="Arial" w:cs="Arial"/>
                <w:sz w:val="20"/>
                <w:szCs w:val="20"/>
                <w:vertAlign w:val="superscript"/>
              </w:rPr>
              <w:t>th</w:t>
            </w:r>
            <w:r>
              <w:rPr>
                <w:rFonts w:ascii="Arial" w:hAnsi="Arial" w:cs="Arial"/>
                <w:sz w:val="20"/>
                <w:szCs w:val="20"/>
              </w:rPr>
              <w:t xml:space="preserve"> or better)</w:t>
            </w:r>
          </w:p>
        </w:tc>
        <w:tc>
          <w:tcPr>
            <w:tcW w:w="1701" w:type="dxa"/>
            <w:shd w:val="clear" w:color="auto" w:fill="6DF828"/>
          </w:tcPr>
          <w:p w14:paraId="3CFC5060" w14:textId="77777777" w:rsidR="00B17961" w:rsidRDefault="00B17961" w:rsidP="00B17961">
            <w:pPr>
              <w:spacing w:before="60" w:after="60"/>
              <w:jc w:val="center"/>
              <w:rPr>
                <w:rFonts w:ascii="Arial" w:hAnsi="Arial" w:cs="Arial"/>
                <w:sz w:val="20"/>
                <w:szCs w:val="20"/>
              </w:rPr>
            </w:pPr>
          </w:p>
          <w:p w14:paraId="36A459AD" w14:textId="77777777" w:rsidR="00B17961" w:rsidRDefault="00B17961" w:rsidP="00B17961">
            <w:pPr>
              <w:spacing w:before="60" w:after="60"/>
              <w:jc w:val="center"/>
              <w:rPr>
                <w:rFonts w:ascii="Arial" w:hAnsi="Arial" w:cs="Arial"/>
                <w:sz w:val="20"/>
                <w:szCs w:val="20"/>
              </w:rPr>
            </w:pPr>
          </w:p>
          <w:p w14:paraId="5A1123C7" w14:textId="77777777" w:rsidR="00B17961" w:rsidRDefault="00B17961" w:rsidP="00B17961">
            <w:pPr>
              <w:spacing w:before="60" w:after="60"/>
              <w:jc w:val="center"/>
              <w:rPr>
                <w:rFonts w:ascii="Arial" w:hAnsi="Arial" w:cs="Arial"/>
                <w:sz w:val="20"/>
                <w:szCs w:val="20"/>
              </w:rPr>
            </w:pPr>
          </w:p>
          <w:p w14:paraId="5E9672A4" w14:textId="77777777" w:rsidR="00B17961" w:rsidRDefault="00B17961" w:rsidP="00B17961">
            <w:pPr>
              <w:spacing w:before="60" w:after="60"/>
              <w:jc w:val="center"/>
              <w:rPr>
                <w:rFonts w:ascii="Arial" w:hAnsi="Arial" w:cs="Arial"/>
                <w:sz w:val="20"/>
                <w:szCs w:val="20"/>
              </w:rPr>
            </w:pPr>
            <w:r>
              <w:rPr>
                <w:rFonts w:ascii="Arial" w:hAnsi="Arial" w:cs="Arial"/>
                <w:sz w:val="20"/>
                <w:szCs w:val="20"/>
              </w:rPr>
              <w:t>62% (9</w:t>
            </w:r>
            <w:r w:rsidRPr="001D62E3">
              <w:rPr>
                <w:rFonts w:ascii="Arial" w:hAnsi="Arial" w:cs="Arial"/>
                <w:sz w:val="20"/>
                <w:szCs w:val="20"/>
                <w:vertAlign w:val="superscript"/>
              </w:rPr>
              <w:t>th</w:t>
            </w:r>
            <w:r>
              <w:rPr>
                <w:rFonts w:ascii="Arial" w:hAnsi="Arial" w:cs="Arial"/>
                <w:sz w:val="20"/>
                <w:szCs w:val="20"/>
              </w:rPr>
              <w:t>)</w:t>
            </w:r>
          </w:p>
          <w:p w14:paraId="4CB8E641" w14:textId="77777777" w:rsidR="00B17961" w:rsidRDefault="00B17961" w:rsidP="00B17961">
            <w:pPr>
              <w:spacing w:before="60" w:after="60"/>
              <w:jc w:val="center"/>
              <w:rPr>
                <w:rFonts w:ascii="Arial" w:hAnsi="Arial" w:cs="Arial"/>
                <w:sz w:val="20"/>
                <w:szCs w:val="20"/>
              </w:rPr>
            </w:pPr>
          </w:p>
          <w:p w14:paraId="6C661BEF" w14:textId="77777777" w:rsidR="00B17961" w:rsidRDefault="00B17961" w:rsidP="00B17961">
            <w:pPr>
              <w:spacing w:before="60" w:after="60"/>
              <w:jc w:val="center"/>
              <w:rPr>
                <w:rFonts w:ascii="Arial" w:hAnsi="Arial" w:cs="Arial"/>
                <w:sz w:val="20"/>
                <w:szCs w:val="20"/>
              </w:rPr>
            </w:pPr>
          </w:p>
          <w:p w14:paraId="244A953D" w14:textId="77777777" w:rsidR="00B17961" w:rsidRDefault="00B17961" w:rsidP="00B17961">
            <w:pPr>
              <w:spacing w:before="60" w:after="60"/>
              <w:jc w:val="center"/>
              <w:rPr>
                <w:rFonts w:ascii="Arial" w:hAnsi="Arial" w:cs="Arial"/>
                <w:sz w:val="20"/>
                <w:szCs w:val="20"/>
              </w:rPr>
            </w:pPr>
          </w:p>
          <w:p w14:paraId="5C4C10E9" w14:textId="77777777" w:rsidR="00B17961" w:rsidRDefault="00B17961" w:rsidP="00B17961">
            <w:pPr>
              <w:spacing w:before="60" w:after="60"/>
              <w:jc w:val="center"/>
              <w:rPr>
                <w:rFonts w:ascii="Arial" w:hAnsi="Arial" w:cs="Arial"/>
                <w:sz w:val="20"/>
                <w:szCs w:val="20"/>
              </w:rPr>
            </w:pPr>
          </w:p>
          <w:p w14:paraId="6D31ACFC" w14:textId="77777777" w:rsidR="00B17961" w:rsidRDefault="00B17961" w:rsidP="00B17961">
            <w:pPr>
              <w:spacing w:before="60" w:after="60"/>
              <w:jc w:val="center"/>
              <w:rPr>
                <w:rFonts w:ascii="Arial" w:hAnsi="Arial" w:cs="Arial"/>
                <w:sz w:val="20"/>
                <w:szCs w:val="20"/>
              </w:rPr>
            </w:pPr>
          </w:p>
          <w:p w14:paraId="25C6206E" w14:textId="77777777" w:rsidR="00B17961" w:rsidRDefault="00B17961" w:rsidP="00B17961">
            <w:pPr>
              <w:spacing w:before="60" w:after="60"/>
              <w:jc w:val="center"/>
              <w:rPr>
                <w:rFonts w:ascii="Arial" w:hAnsi="Arial" w:cs="Arial"/>
                <w:sz w:val="20"/>
                <w:szCs w:val="20"/>
              </w:rPr>
            </w:pPr>
          </w:p>
          <w:p w14:paraId="3CD6F08E" w14:textId="77777777" w:rsidR="00B17961" w:rsidRDefault="00B17961" w:rsidP="00B17961">
            <w:pPr>
              <w:spacing w:before="60" w:after="60"/>
              <w:jc w:val="center"/>
              <w:rPr>
                <w:rFonts w:ascii="Arial" w:hAnsi="Arial" w:cs="Arial"/>
                <w:sz w:val="20"/>
                <w:szCs w:val="20"/>
              </w:rPr>
            </w:pPr>
          </w:p>
          <w:p w14:paraId="1CD75433"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-9ppt (9th)</w:t>
            </w:r>
          </w:p>
        </w:tc>
      </w:tr>
      <w:tr w:rsidR="00B17961" w:rsidRPr="00C004AF" w14:paraId="567B9ECC" w14:textId="77777777" w:rsidTr="00B17961">
        <w:trPr>
          <w:cantSplit/>
        </w:trPr>
        <w:tc>
          <w:tcPr>
            <w:tcW w:w="675" w:type="dxa"/>
          </w:tcPr>
          <w:p w14:paraId="43814269" w14:textId="77777777" w:rsidR="00B17961" w:rsidRPr="00C004AF" w:rsidRDefault="00B17961" w:rsidP="00B17961">
            <w:pPr>
              <w:spacing w:before="60" w:after="60"/>
              <w:rPr>
                <w:rFonts w:ascii="Arial" w:hAnsi="Arial" w:cs="Arial"/>
                <w:sz w:val="20"/>
                <w:szCs w:val="20"/>
              </w:rPr>
            </w:pPr>
            <w:bookmarkStart w:id="2" w:name="_Hlk2347759"/>
            <w:r>
              <w:rPr>
                <w:rFonts w:ascii="Arial" w:hAnsi="Arial" w:cs="Arial"/>
                <w:sz w:val="20"/>
                <w:szCs w:val="20"/>
              </w:rPr>
              <w:t>12</w:t>
            </w:r>
          </w:p>
        </w:tc>
        <w:tc>
          <w:tcPr>
            <w:tcW w:w="3289" w:type="dxa"/>
          </w:tcPr>
          <w:p w14:paraId="50DD923B"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u w:val="single"/>
              </w:rPr>
              <w:t>Secondary FSM attainment and achievement and narrowing the gaps</w:t>
            </w:r>
            <w:r w:rsidRPr="00C004AF">
              <w:rPr>
                <w:rFonts w:ascii="Arial" w:hAnsi="Arial" w:cs="Arial"/>
                <w:sz w:val="20"/>
                <w:szCs w:val="20"/>
              </w:rPr>
              <w:t>:</w:t>
            </w:r>
          </w:p>
          <w:p w14:paraId="5F3FC456" w14:textId="77777777" w:rsidR="00B17961" w:rsidRPr="00C004AF" w:rsidRDefault="00B17961" w:rsidP="00B17961">
            <w:pPr>
              <w:tabs>
                <w:tab w:val="left" w:pos="1147"/>
              </w:tabs>
              <w:spacing w:before="60" w:after="60"/>
              <w:rPr>
                <w:rFonts w:ascii="Arial" w:hAnsi="Arial" w:cs="Arial"/>
                <w:sz w:val="20"/>
                <w:szCs w:val="20"/>
              </w:rPr>
            </w:pPr>
            <w:proofErr w:type="spellStart"/>
            <w:proofErr w:type="gramStart"/>
            <w:r w:rsidRPr="00C004AF">
              <w:rPr>
                <w:rFonts w:ascii="Arial" w:hAnsi="Arial" w:cs="Arial"/>
                <w:sz w:val="20"/>
                <w:szCs w:val="20"/>
              </w:rPr>
              <w:t>a</w:t>
            </w:r>
            <w:proofErr w:type="spellEnd"/>
            <w:r w:rsidRPr="00C004AF">
              <w:rPr>
                <w:rFonts w:ascii="Arial" w:hAnsi="Arial" w:cs="Arial"/>
                <w:sz w:val="20"/>
                <w:szCs w:val="20"/>
              </w:rPr>
              <w:t xml:space="preserve">  Average</w:t>
            </w:r>
            <w:proofErr w:type="gramEnd"/>
            <w:r w:rsidRPr="00C004AF">
              <w:rPr>
                <w:rFonts w:ascii="Arial" w:hAnsi="Arial" w:cs="Arial"/>
                <w:sz w:val="20"/>
                <w:szCs w:val="20"/>
              </w:rPr>
              <w:t xml:space="preserve"> Attainment 8 Score for pupils eligible for FSM in the past 6 years (disadvantaged pupils)</w:t>
            </w:r>
          </w:p>
          <w:p w14:paraId="2C5C0E74" w14:textId="77777777" w:rsidR="00B17961" w:rsidRPr="00C004AF" w:rsidRDefault="00B17961" w:rsidP="00B17961">
            <w:pPr>
              <w:tabs>
                <w:tab w:val="left" w:pos="1147"/>
              </w:tabs>
              <w:spacing w:before="60" w:after="60"/>
              <w:rPr>
                <w:rFonts w:ascii="Arial" w:hAnsi="Arial" w:cs="Arial"/>
                <w:sz w:val="20"/>
                <w:szCs w:val="20"/>
              </w:rPr>
            </w:pPr>
            <w:proofErr w:type="gramStart"/>
            <w:r w:rsidRPr="00C004AF">
              <w:rPr>
                <w:rFonts w:ascii="Arial" w:hAnsi="Arial" w:cs="Arial"/>
                <w:sz w:val="20"/>
                <w:szCs w:val="20"/>
              </w:rPr>
              <w:t>b  Average</w:t>
            </w:r>
            <w:proofErr w:type="gramEnd"/>
            <w:r w:rsidRPr="00C004AF">
              <w:rPr>
                <w:rFonts w:ascii="Arial" w:hAnsi="Arial" w:cs="Arial"/>
                <w:sz w:val="20"/>
                <w:szCs w:val="20"/>
              </w:rPr>
              <w:t xml:space="preserve"> Progress 8 Score for pupils eligible for FSM  in the past 6 years (disadvantaged pupils)</w:t>
            </w:r>
          </w:p>
          <w:p w14:paraId="62A3519A" w14:textId="77777777" w:rsidR="00B17961" w:rsidRPr="00C004AF" w:rsidRDefault="00B17961" w:rsidP="00B17961">
            <w:pPr>
              <w:tabs>
                <w:tab w:val="left" w:pos="1147"/>
              </w:tabs>
              <w:spacing w:before="60" w:after="60"/>
              <w:rPr>
                <w:rFonts w:ascii="Arial" w:hAnsi="Arial" w:cs="Arial"/>
                <w:sz w:val="20"/>
                <w:szCs w:val="20"/>
              </w:rPr>
            </w:pPr>
            <w:proofErr w:type="gramStart"/>
            <w:r w:rsidRPr="00C004AF">
              <w:rPr>
                <w:rFonts w:ascii="Arial" w:hAnsi="Arial" w:cs="Arial"/>
                <w:sz w:val="20"/>
                <w:szCs w:val="20"/>
              </w:rPr>
              <w:t>c  Attainment</w:t>
            </w:r>
            <w:proofErr w:type="gramEnd"/>
            <w:r w:rsidRPr="00C004AF">
              <w:rPr>
                <w:rFonts w:ascii="Arial" w:hAnsi="Arial" w:cs="Arial"/>
                <w:sz w:val="20"/>
                <w:szCs w:val="20"/>
              </w:rPr>
              <w:t xml:space="preserve"> gap between pupils eligible for FSM (disadvantaged)</w:t>
            </w:r>
            <w:r>
              <w:rPr>
                <w:rFonts w:ascii="Arial" w:hAnsi="Arial" w:cs="Arial"/>
                <w:sz w:val="20"/>
                <w:szCs w:val="20"/>
              </w:rPr>
              <w:t xml:space="preserve"> and other</w:t>
            </w:r>
            <w:r w:rsidRPr="00C004AF">
              <w:rPr>
                <w:rFonts w:ascii="Arial" w:hAnsi="Arial" w:cs="Arial"/>
                <w:sz w:val="20"/>
                <w:szCs w:val="20"/>
              </w:rPr>
              <w:t xml:space="preserve"> pupils</w:t>
            </w:r>
            <w:r>
              <w:rPr>
                <w:rFonts w:ascii="Arial" w:hAnsi="Arial" w:cs="Arial"/>
                <w:sz w:val="20"/>
                <w:szCs w:val="20"/>
              </w:rPr>
              <w:t xml:space="preserve"> nationally</w:t>
            </w:r>
            <w:r w:rsidRPr="00C004AF">
              <w:rPr>
                <w:rFonts w:ascii="Arial" w:hAnsi="Arial" w:cs="Arial"/>
                <w:sz w:val="20"/>
                <w:szCs w:val="20"/>
              </w:rPr>
              <w:t xml:space="preserve"> (Average Attainment 8 Score for pupils on FSM</w:t>
            </w:r>
            <w:r>
              <w:rPr>
                <w:rFonts w:ascii="Arial" w:hAnsi="Arial" w:cs="Arial"/>
                <w:sz w:val="20"/>
                <w:szCs w:val="20"/>
              </w:rPr>
              <w:t xml:space="preserve"> in Barnet</w:t>
            </w:r>
            <w:r w:rsidRPr="00C004AF">
              <w:rPr>
                <w:rFonts w:ascii="Arial" w:hAnsi="Arial" w:cs="Arial"/>
                <w:sz w:val="20"/>
                <w:szCs w:val="20"/>
              </w:rPr>
              <w:t xml:space="preserve"> - Average Attainment 8 Score for pupils not disadvantaged</w:t>
            </w:r>
            <w:r>
              <w:rPr>
                <w:rFonts w:ascii="Arial" w:hAnsi="Arial" w:cs="Arial"/>
                <w:sz w:val="20"/>
                <w:szCs w:val="20"/>
              </w:rPr>
              <w:t xml:space="preserve"> nationally</w:t>
            </w:r>
            <w:r w:rsidRPr="00C004AF">
              <w:rPr>
                <w:rFonts w:ascii="Arial" w:hAnsi="Arial" w:cs="Arial"/>
                <w:sz w:val="20"/>
                <w:szCs w:val="20"/>
              </w:rPr>
              <w:t>)</w:t>
            </w:r>
          </w:p>
          <w:p w14:paraId="2E7E7C81" w14:textId="77777777" w:rsidR="00B17961" w:rsidRPr="00C004AF" w:rsidRDefault="00B17961" w:rsidP="00B17961">
            <w:pPr>
              <w:tabs>
                <w:tab w:val="left" w:pos="1147"/>
              </w:tabs>
              <w:spacing w:before="60" w:after="60"/>
              <w:rPr>
                <w:rFonts w:ascii="Arial" w:hAnsi="Arial" w:cs="Arial"/>
                <w:sz w:val="20"/>
                <w:szCs w:val="20"/>
              </w:rPr>
            </w:pPr>
            <w:proofErr w:type="gramStart"/>
            <w:r w:rsidRPr="00C004AF">
              <w:rPr>
                <w:rFonts w:ascii="Arial" w:hAnsi="Arial" w:cs="Arial"/>
                <w:sz w:val="20"/>
                <w:szCs w:val="20"/>
              </w:rPr>
              <w:t>d  Achievement</w:t>
            </w:r>
            <w:proofErr w:type="gramEnd"/>
            <w:r w:rsidRPr="00C004AF">
              <w:rPr>
                <w:rFonts w:ascii="Arial" w:hAnsi="Arial" w:cs="Arial"/>
                <w:sz w:val="20"/>
                <w:szCs w:val="20"/>
              </w:rPr>
              <w:t xml:space="preserve"> gap between pupils eligible for FSM (disadvantaged)</w:t>
            </w:r>
            <w:r>
              <w:rPr>
                <w:rFonts w:ascii="Arial" w:hAnsi="Arial" w:cs="Arial"/>
                <w:sz w:val="20"/>
                <w:szCs w:val="20"/>
              </w:rPr>
              <w:t xml:space="preserve"> and other</w:t>
            </w:r>
            <w:r w:rsidRPr="00C004AF">
              <w:rPr>
                <w:rFonts w:ascii="Arial" w:hAnsi="Arial" w:cs="Arial"/>
                <w:sz w:val="20"/>
                <w:szCs w:val="20"/>
              </w:rPr>
              <w:t xml:space="preserve"> pupils</w:t>
            </w:r>
            <w:r>
              <w:rPr>
                <w:rFonts w:ascii="Arial" w:hAnsi="Arial" w:cs="Arial"/>
                <w:sz w:val="20"/>
                <w:szCs w:val="20"/>
              </w:rPr>
              <w:t xml:space="preserve"> nationally</w:t>
            </w:r>
            <w:r w:rsidRPr="00C004AF">
              <w:rPr>
                <w:rFonts w:ascii="Arial" w:hAnsi="Arial" w:cs="Arial"/>
                <w:sz w:val="20"/>
                <w:szCs w:val="20"/>
              </w:rPr>
              <w:t xml:space="preserve"> (Average Progress 8 Score for pupils on FSM - Average Progress 8 Score for pupils not disadvantaged</w:t>
            </w:r>
            <w:r>
              <w:rPr>
                <w:rFonts w:ascii="Arial" w:hAnsi="Arial" w:cs="Arial"/>
                <w:sz w:val="20"/>
                <w:szCs w:val="20"/>
              </w:rPr>
              <w:t xml:space="preserve"> nationally</w:t>
            </w:r>
            <w:r w:rsidRPr="00C004AF">
              <w:rPr>
                <w:rFonts w:ascii="Arial" w:hAnsi="Arial" w:cs="Arial"/>
                <w:sz w:val="20"/>
                <w:szCs w:val="20"/>
              </w:rPr>
              <w:t>)</w:t>
            </w:r>
          </w:p>
        </w:tc>
        <w:tc>
          <w:tcPr>
            <w:tcW w:w="1843" w:type="dxa"/>
          </w:tcPr>
          <w:p w14:paraId="457B287F" w14:textId="77777777" w:rsidR="00B17961" w:rsidRDefault="00B17961" w:rsidP="00B17961">
            <w:pPr>
              <w:spacing w:before="60" w:after="60"/>
              <w:jc w:val="center"/>
              <w:rPr>
                <w:rFonts w:ascii="Arial" w:hAnsi="Arial" w:cs="Arial"/>
                <w:sz w:val="20"/>
                <w:szCs w:val="20"/>
              </w:rPr>
            </w:pPr>
          </w:p>
          <w:p w14:paraId="20CD5C7E" w14:textId="77777777" w:rsidR="00B17961" w:rsidRDefault="00B17961" w:rsidP="00B17961">
            <w:pPr>
              <w:spacing w:before="60" w:after="60"/>
              <w:jc w:val="center"/>
              <w:rPr>
                <w:rFonts w:ascii="Arial" w:hAnsi="Arial" w:cs="Arial"/>
                <w:sz w:val="20"/>
                <w:szCs w:val="20"/>
              </w:rPr>
            </w:pPr>
          </w:p>
          <w:p w14:paraId="016204C6" w14:textId="77777777" w:rsidR="00B17961" w:rsidRDefault="00B17961" w:rsidP="00B17961">
            <w:pPr>
              <w:spacing w:before="60" w:after="60"/>
              <w:jc w:val="center"/>
              <w:rPr>
                <w:rFonts w:ascii="Arial" w:hAnsi="Arial" w:cs="Arial"/>
                <w:sz w:val="20"/>
                <w:szCs w:val="20"/>
              </w:rPr>
            </w:pPr>
          </w:p>
          <w:p w14:paraId="285DDFD8" w14:textId="77777777" w:rsidR="00B17961" w:rsidRDefault="00B17961" w:rsidP="00B17961">
            <w:pPr>
              <w:spacing w:before="60" w:after="60"/>
              <w:jc w:val="center"/>
              <w:rPr>
                <w:rFonts w:ascii="Arial" w:hAnsi="Arial" w:cs="Arial"/>
                <w:sz w:val="20"/>
                <w:szCs w:val="20"/>
              </w:rPr>
            </w:pPr>
          </w:p>
          <w:p w14:paraId="346138FD" w14:textId="77777777" w:rsidR="00B17961" w:rsidRDefault="00B17961" w:rsidP="00B17961">
            <w:pPr>
              <w:spacing w:before="60" w:after="60"/>
              <w:jc w:val="center"/>
              <w:rPr>
                <w:rFonts w:ascii="Arial" w:hAnsi="Arial" w:cs="Arial"/>
                <w:sz w:val="20"/>
                <w:szCs w:val="20"/>
              </w:rPr>
            </w:pPr>
            <w:r>
              <w:rPr>
                <w:rFonts w:ascii="Arial" w:hAnsi="Arial" w:cs="Arial"/>
                <w:sz w:val="20"/>
                <w:szCs w:val="20"/>
              </w:rPr>
              <w:t>47.2</w:t>
            </w:r>
          </w:p>
          <w:p w14:paraId="10D406E3" w14:textId="77777777" w:rsidR="00B17961" w:rsidRDefault="00B17961" w:rsidP="00B17961">
            <w:pPr>
              <w:spacing w:before="60" w:after="60"/>
              <w:jc w:val="center"/>
              <w:rPr>
                <w:rFonts w:ascii="Arial" w:hAnsi="Arial" w:cs="Arial"/>
                <w:sz w:val="20"/>
                <w:szCs w:val="20"/>
              </w:rPr>
            </w:pPr>
          </w:p>
          <w:p w14:paraId="3118DA71" w14:textId="77777777" w:rsidR="00B17961" w:rsidRDefault="00B17961" w:rsidP="00B17961">
            <w:pPr>
              <w:spacing w:before="60" w:after="60"/>
              <w:jc w:val="center"/>
              <w:rPr>
                <w:rFonts w:ascii="Arial" w:hAnsi="Arial" w:cs="Arial"/>
                <w:sz w:val="20"/>
                <w:szCs w:val="20"/>
              </w:rPr>
            </w:pPr>
            <w:r>
              <w:rPr>
                <w:rFonts w:ascii="Arial" w:hAnsi="Arial" w:cs="Arial"/>
                <w:sz w:val="20"/>
                <w:szCs w:val="20"/>
              </w:rPr>
              <w:t>0.05</w:t>
            </w:r>
          </w:p>
          <w:p w14:paraId="2180E414" w14:textId="77777777" w:rsidR="00B17961" w:rsidRDefault="00B17961" w:rsidP="00B17961">
            <w:pPr>
              <w:spacing w:before="60" w:after="60"/>
              <w:jc w:val="center"/>
              <w:rPr>
                <w:rFonts w:ascii="Arial" w:hAnsi="Arial" w:cs="Arial"/>
                <w:sz w:val="20"/>
                <w:szCs w:val="20"/>
              </w:rPr>
            </w:pPr>
          </w:p>
          <w:p w14:paraId="68BA85E1" w14:textId="77777777" w:rsidR="00B17961" w:rsidRDefault="00B17961" w:rsidP="00B17961">
            <w:pPr>
              <w:spacing w:before="60" w:after="60"/>
              <w:jc w:val="center"/>
              <w:rPr>
                <w:rFonts w:ascii="Arial" w:hAnsi="Arial" w:cs="Arial"/>
                <w:sz w:val="20"/>
                <w:szCs w:val="20"/>
              </w:rPr>
            </w:pPr>
          </w:p>
          <w:p w14:paraId="56AEEA2E" w14:textId="77777777" w:rsidR="00B17961" w:rsidRDefault="00B17961" w:rsidP="00B17961">
            <w:pPr>
              <w:spacing w:before="60" w:after="60"/>
              <w:jc w:val="center"/>
              <w:rPr>
                <w:rFonts w:ascii="Arial" w:hAnsi="Arial" w:cs="Arial"/>
                <w:sz w:val="20"/>
                <w:szCs w:val="20"/>
              </w:rPr>
            </w:pPr>
          </w:p>
          <w:p w14:paraId="0F5ADC5A" w14:textId="77777777" w:rsidR="00B17961" w:rsidRDefault="00B17961" w:rsidP="00B17961">
            <w:pPr>
              <w:spacing w:before="60" w:after="60"/>
              <w:jc w:val="center"/>
              <w:rPr>
                <w:rFonts w:ascii="Arial" w:hAnsi="Arial" w:cs="Arial"/>
                <w:sz w:val="20"/>
                <w:szCs w:val="20"/>
              </w:rPr>
            </w:pPr>
          </w:p>
          <w:p w14:paraId="2BC422EB" w14:textId="77777777" w:rsidR="00B17961" w:rsidRDefault="00B17961" w:rsidP="00B17961">
            <w:pPr>
              <w:spacing w:before="60" w:after="60"/>
              <w:jc w:val="center"/>
              <w:rPr>
                <w:rFonts w:ascii="Arial" w:hAnsi="Arial" w:cs="Arial"/>
                <w:sz w:val="20"/>
                <w:szCs w:val="20"/>
              </w:rPr>
            </w:pPr>
            <w:r>
              <w:rPr>
                <w:rFonts w:ascii="Arial" w:hAnsi="Arial" w:cs="Arial"/>
                <w:sz w:val="20"/>
                <w:szCs w:val="20"/>
              </w:rPr>
              <w:t>-6.30</w:t>
            </w:r>
          </w:p>
          <w:p w14:paraId="1E7C4A05" w14:textId="77777777" w:rsidR="00B17961" w:rsidRDefault="00B17961" w:rsidP="00B17961">
            <w:pPr>
              <w:spacing w:before="60" w:after="60"/>
              <w:jc w:val="center"/>
              <w:rPr>
                <w:rFonts w:ascii="Arial" w:hAnsi="Arial" w:cs="Arial"/>
                <w:sz w:val="20"/>
                <w:szCs w:val="20"/>
              </w:rPr>
            </w:pPr>
          </w:p>
          <w:p w14:paraId="21306195" w14:textId="77777777" w:rsidR="00B17961" w:rsidRDefault="00B17961" w:rsidP="00B17961">
            <w:pPr>
              <w:spacing w:before="60" w:after="60"/>
              <w:jc w:val="center"/>
              <w:rPr>
                <w:rFonts w:ascii="Arial" w:hAnsi="Arial" w:cs="Arial"/>
                <w:sz w:val="20"/>
                <w:szCs w:val="20"/>
              </w:rPr>
            </w:pPr>
          </w:p>
          <w:p w14:paraId="581C5AB5" w14:textId="77777777" w:rsidR="00B17961" w:rsidRDefault="00B17961" w:rsidP="00B17961">
            <w:pPr>
              <w:spacing w:before="60" w:after="60"/>
              <w:jc w:val="center"/>
              <w:rPr>
                <w:rFonts w:ascii="Arial" w:hAnsi="Arial" w:cs="Arial"/>
                <w:sz w:val="20"/>
                <w:szCs w:val="20"/>
              </w:rPr>
            </w:pPr>
          </w:p>
          <w:p w14:paraId="52D0B9D4" w14:textId="77777777" w:rsidR="00B17961" w:rsidRDefault="00B17961" w:rsidP="00B17961">
            <w:pPr>
              <w:spacing w:before="60" w:after="60"/>
              <w:jc w:val="center"/>
              <w:rPr>
                <w:rFonts w:ascii="Arial" w:hAnsi="Arial" w:cs="Arial"/>
                <w:sz w:val="20"/>
                <w:szCs w:val="20"/>
              </w:rPr>
            </w:pPr>
          </w:p>
          <w:p w14:paraId="2C75DF52"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-0.08</w:t>
            </w:r>
          </w:p>
        </w:tc>
        <w:tc>
          <w:tcPr>
            <w:tcW w:w="1559" w:type="dxa"/>
          </w:tcPr>
          <w:p w14:paraId="41051672"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Top 10% (ranked 15</w:t>
            </w:r>
            <w:r w:rsidRPr="003B1D70">
              <w:rPr>
                <w:rFonts w:ascii="Arial" w:hAnsi="Arial" w:cs="Arial"/>
                <w:sz w:val="20"/>
                <w:szCs w:val="20"/>
                <w:vertAlign w:val="superscript"/>
              </w:rPr>
              <w:t>th</w:t>
            </w:r>
            <w:r>
              <w:rPr>
                <w:rFonts w:ascii="Arial" w:hAnsi="Arial" w:cs="Arial"/>
                <w:sz w:val="20"/>
                <w:szCs w:val="20"/>
              </w:rPr>
              <w:t xml:space="preserve"> or better)</w:t>
            </w:r>
          </w:p>
        </w:tc>
        <w:tc>
          <w:tcPr>
            <w:tcW w:w="1701" w:type="dxa"/>
            <w:shd w:val="clear" w:color="auto" w:fill="6DF828"/>
          </w:tcPr>
          <w:p w14:paraId="7B3ADC17" w14:textId="77777777" w:rsidR="00B17961" w:rsidRDefault="00B17961" w:rsidP="00B17961">
            <w:pPr>
              <w:spacing w:before="60" w:after="60"/>
              <w:jc w:val="center"/>
              <w:rPr>
                <w:rFonts w:ascii="Arial" w:hAnsi="Arial" w:cs="Arial"/>
                <w:sz w:val="20"/>
                <w:szCs w:val="20"/>
              </w:rPr>
            </w:pPr>
          </w:p>
          <w:p w14:paraId="1C1A65E7" w14:textId="77777777" w:rsidR="00B17961" w:rsidRDefault="00B17961" w:rsidP="00B17961">
            <w:pPr>
              <w:spacing w:before="60" w:after="60"/>
              <w:jc w:val="center"/>
              <w:rPr>
                <w:rFonts w:ascii="Arial" w:hAnsi="Arial" w:cs="Arial"/>
                <w:sz w:val="20"/>
                <w:szCs w:val="20"/>
              </w:rPr>
            </w:pPr>
          </w:p>
          <w:p w14:paraId="3BC41906" w14:textId="77777777" w:rsidR="00B17961" w:rsidRDefault="00B17961" w:rsidP="00B17961">
            <w:pPr>
              <w:spacing w:before="60" w:after="60"/>
              <w:jc w:val="center"/>
              <w:rPr>
                <w:rFonts w:ascii="Arial" w:hAnsi="Arial" w:cs="Arial"/>
                <w:sz w:val="20"/>
                <w:szCs w:val="20"/>
              </w:rPr>
            </w:pPr>
          </w:p>
          <w:p w14:paraId="6D00C74E" w14:textId="77777777" w:rsidR="00B17961" w:rsidRDefault="00B17961" w:rsidP="00B17961">
            <w:pPr>
              <w:spacing w:before="60" w:after="60"/>
              <w:jc w:val="center"/>
              <w:rPr>
                <w:rFonts w:ascii="Arial" w:hAnsi="Arial" w:cs="Arial"/>
                <w:sz w:val="20"/>
                <w:szCs w:val="20"/>
              </w:rPr>
            </w:pPr>
          </w:p>
          <w:p w14:paraId="51EAEA27" w14:textId="77777777" w:rsidR="00B17961" w:rsidRDefault="00B17961" w:rsidP="00B17961">
            <w:pPr>
              <w:spacing w:before="60" w:after="60"/>
              <w:jc w:val="center"/>
              <w:rPr>
                <w:rFonts w:ascii="Arial" w:hAnsi="Arial" w:cs="Arial"/>
                <w:sz w:val="20"/>
                <w:szCs w:val="20"/>
              </w:rPr>
            </w:pPr>
            <w:r>
              <w:rPr>
                <w:rFonts w:ascii="Arial" w:hAnsi="Arial" w:cs="Arial"/>
                <w:sz w:val="20"/>
                <w:szCs w:val="20"/>
              </w:rPr>
              <w:t>45.3% (5</w:t>
            </w:r>
            <w:r w:rsidRPr="00E12807">
              <w:rPr>
                <w:rFonts w:ascii="Arial" w:hAnsi="Arial" w:cs="Arial"/>
                <w:sz w:val="20"/>
                <w:szCs w:val="20"/>
                <w:vertAlign w:val="superscript"/>
              </w:rPr>
              <w:t>th</w:t>
            </w:r>
            <w:r>
              <w:rPr>
                <w:rFonts w:ascii="Arial" w:hAnsi="Arial" w:cs="Arial"/>
                <w:sz w:val="20"/>
                <w:szCs w:val="20"/>
              </w:rPr>
              <w:t>)</w:t>
            </w:r>
          </w:p>
          <w:p w14:paraId="3C25CCE2" w14:textId="77777777" w:rsidR="00B17961" w:rsidRDefault="00B17961" w:rsidP="00B17961">
            <w:pPr>
              <w:spacing w:before="60" w:after="60"/>
              <w:jc w:val="center"/>
              <w:rPr>
                <w:rFonts w:ascii="Arial" w:hAnsi="Arial" w:cs="Arial"/>
                <w:sz w:val="20"/>
                <w:szCs w:val="20"/>
              </w:rPr>
            </w:pPr>
          </w:p>
          <w:p w14:paraId="1131D777" w14:textId="77777777" w:rsidR="00B17961" w:rsidRDefault="00B17961" w:rsidP="00B17961">
            <w:pPr>
              <w:spacing w:before="60" w:after="60"/>
              <w:jc w:val="center"/>
              <w:rPr>
                <w:rFonts w:ascii="Arial" w:hAnsi="Arial" w:cs="Arial"/>
                <w:sz w:val="20"/>
                <w:szCs w:val="20"/>
              </w:rPr>
            </w:pPr>
            <w:r>
              <w:rPr>
                <w:rFonts w:ascii="Arial" w:hAnsi="Arial" w:cs="Arial"/>
                <w:sz w:val="20"/>
                <w:szCs w:val="20"/>
              </w:rPr>
              <w:t>0.23 (4</w:t>
            </w:r>
            <w:r w:rsidRPr="00E12807">
              <w:rPr>
                <w:rFonts w:ascii="Arial" w:hAnsi="Arial" w:cs="Arial"/>
                <w:sz w:val="20"/>
                <w:szCs w:val="20"/>
                <w:vertAlign w:val="superscript"/>
              </w:rPr>
              <w:t>th</w:t>
            </w:r>
            <w:r>
              <w:rPr>
                <w:rFonts w:ascii="Arial" w:hAnsi="Arial" w:cs="Arial"/>
                <w:sz w:val="20"/>
                <w:szCs w:val="20"/>
              </w:rPr>
              <w:t>)</w:t>
            </w:r>
          </w:p>
          <w:p w14:paraId="4023B025" w14:textId="77777777" w:rsidR="00B17961" w:rsidRDefault="00B17961" w:rsidP="00B17961">
            <w:pPr>
              <w:spacing w:before="60" w:after="60"/>
              <w:jc w:val="center"/>
              <w:rPr>
                <w:rFonts w:ascii="Arial" w:hAnsi="Arial" w:cs="Arial"/>
                <w:sz w:val="20"/>
                <w:szCs w:val="20"/>
                <w:vertAlign w:val="superscript"/>
              </w:rPr>
            </w:pPr>
          </w:p>
          <w:p w14:paraId="342952F5" w14:textId="77777777" w:rsidR="00B17961" w:rsidRDefault="00B17961" w:rsidP="00B17961">
            <w:pPr>
              <w:spacing w:before="60" w:after="60"/>
              <w:jc w:val="center"/>
              <w:rPr>
                <w:rFonts w:ascii="Arial" w:hAnsi="Arial" w:cs="Arial"/>
                <w:sz w:val="20"/>
                <w:szCs w:val="20"/>
                <w:vertAlign w:val="superscript"/>
              </w:rPr>
            </w:pPr>
          </w:p>
          <w:p w14:paraId="306060D7" w14:textId="77777777" w:rsidR="00B17961" w:rsidRDefault="00B17961" w:rsidP="00B17961">
            <w:pPr>
              <w:spacing w:before="60" w:after="60"/>
              <w:jc w:val="center"/>
              <w:rPr>
                <w:rFonts w:ascii="Arial" w:hAnsi="Arial" w:cs="Arial"/>
                <w:sz w:val="20"/>
                <w:szCs w:val="20"/>
                <w:vertAlign w:val="superscript"/>
              </w:rPr>
            </w:pPr>
          </w:p>
          <w:p w14:paraId="7C6FD7CB" w14:textId="77777777" w:rsidR="00B17961" w:rsidRDefault="00B17961" w:rsidP="00B17961">
            <w:pPr>
              <w:spacing w:before="60" w:after="60"/>
              <w:jc w:val="center"/>
              <w:rPr>
                <w:rFonts w:ascii="Arial" w:hAnsi="Arial" w:cs="Arial"/>
                <w:sz w:val="20"/>
                <w:szCs w:val="20"/>
                <w:vertAlign w:val="superscript"/>
              </w:rPr>
            </w:pPr>
          </w:p>
          <w:p w14:paraId="69B66FB8" w14:textId="77777777" w:rsidR="00B17961" w:rsidRDefault="00B17961" w:rsidP="00B17961">
            <w:pPr>
              <w:spacing w:before="60" w:after="60"/>
              <w:jc w:val="center"/>
              <w:rPr>
                <w:rFonts w:ascii="Arial" w:hAnsi="Arial" w:cs="Arial"/>
                <w:sz w:val="20"/>
                <w:szCs w:val="20"/>
              </w:rPr>
            </w:pPr>
            <w:r>
              <w:rPr>
                <w:rFonts w:ascii="Arial" w:hAnsi="Arial" w:cs="Arial"/>
                <w:sz w:val="20"/>
                <w:szCs w:val="20"/>
              </w:rPr>
              <w:t>-5.0 (5</w:t>
            </w:r>
            <w:r w:rsidRPr="00E12807">
              <w:rPr>
                <w:rFonts w:ascii="Arial" w:hAnsi="Arial" w:cs="Arial"/>
                <w:sz w:val="20"/>
                <w:szCs w:val="20"/>
                <w:vertAlign w:val="superscript"/>
              </w:rPr>
              <w:t>th</w:t>
            </w:r>
            <w:r>
              <w:rPr>
                <w:rFonts w:ascii="Arial" w:hAnsi="Arial" w:cs="Arial"/>
                <w:sz w:val="20"/>
                <w:szCs w:val="20"/>
              </w:rPr>
              <w:t>)</w:t>
            </w:r>
          </w:p>
          <w:p w14:paraId="16E8D21E" w14:textId="77777777" w:rsidR="00B17961" w:rsidRDefault="00B17961" w:rsidP="00B17961">
            <w:pPr>
              <w:spacing w:before="60" w:after="60"/>
              <w:jc w:val="center"/>
              <w:rPr>
                <w:rFonts w:ascii="Arial" w:hAnsi="Arial" w:cs="Arial"/>
                <w:sz w:val="20"/>
                <w:szCs w:val="20"/>
              </w:rPr>
            </w:pPr>
          </w:p>
          <w:p w14:paraId="7CD18E6E" w14:textId="77777777" w:rsidR="00B17961" w:rsidRDefault="00B17961" w:rsidP="00B17961">
            <w:pPr>
              <w:spacing w:before="60" w:after="60"/>
              <w:jc w:val="center"/>
              <w:rPr>
                <w:rFonts w:ascii="Arial" w:hAnsi="Arial" w:cs="Arial"/>
                <w:sz w:val="20"/>
                <w:szCs w:val="20"/>
              </w:rPr>
            </w:pPr>
          </w:p>
          <w:p w14:paraId="0E520162" w14:textId="77777777" w:rsidR="00B17961" w:rsidRDefault="00B17961" w:rsidP="00B17961">
            <w:pPr>
              <w:spacing w:before="60" w:after="60"/>
              <w:jc w:val="center"/>
              <w:rPr>
                <w:rFonts w:ascii="Arial" w:hAnsi="Arial" w:cs="Arial"/>
                <w:sz w:val="20"/>
                <w:szCs w:val="20"/>
              </w:rPr>
            </w:pPr>
          </w:p>
          <w:p w14:paraId="7B0BC3F8" w14:textId="77777777" w:rsidR="00B17961" w:rsidRDefault="00B17961" w:rsidP="00B17961">
            <w:pPr>
              <w:spacing w:before="60" w:after="60"/>
              <w:jc w:val="center"/>
              <w:rPr>
                <w:rFonts w:ascii="Arial" w:hAnsi="Arial" w:cs="Arial"/>
                <w:sz w:val="20"/>
                <w:szCs w:val="20"/>
              </w:rPr>
            </w:pPr>
          </w:p>
          <w:p w14:paraId="0D6A0A37" w14:textId="77777777" w:rsidR="00B17961" w:rsidRDefault="00B17961" w:rsidP="00B17961">
            <w:pPr>
              <w:spacing w:before="60" w:after="60"/>
              <w:jc w:val="center"/>
              <w:rPr>
                <w:rFonts w:ascii="Arial" w:hAnsi="Arial" w:cs="Arial"/>
                <w:sz w:val="20"/>
                <w:szCs w:val="20"/>
              </w:rPr>
            </w:pPr>
            <w:r>
              <w:rPr>
                <w:rFonts w:ascii="Arial" w:hAnsi="Arial" w:cs="Arial"/>
                <w:sz w:val="20"/>
                <w:szCs w:val="20"/>
              </w:rPr>
              <w:t>+0.10 (4</w:t>
            </w:r>
            <w:r w:rsidRPr="00626847">
              <w:rPr>
                <w:rFonts w:ascii="Arial" w:hAnsi="Arial" w:cs="Arial"/>
                <w:sz w:val="20"/>
                <w:szCs w:val="20"/>
                <w:vertAlign w:val="superscript"/>
              </w:rPr>
              <w:t>th</w:t>
            </w:r>
            <w:r>
              <w:rPr>
                <w:rFonts w:ascii="Arial" w:hAnsi="Arial" w:cs="Arial"/>
                <w:sz w:val="20"/>
                <w:szCs w:val="20"/>
              </w:rPr>
              <w:t>)</w:t>
            </w:r>
          </w:p>
          <w:p w14:paraId="3816A30B" w14:textId="77777777" w:rsidR="00B17961" w:rsidRDefault="00B17961" w:rsidP="00B17961">
            <w:pPr>
              <w:spacing w:before="60" w:after="60"/>
              <w:jc w:val="center"/>
              <w:rPr>
                <w:rFonts w:ascii="Arial" w:hAnsi="Arial" w:cs="Arial"/>
                <w:sz w:val="20"/>
                <w:szCs w:val="20"/>
                <w:vertAlign w:val="superscript"/>
              </w:rPr>
            </w:pPr>
          </w:p>
          <w:p w14:paraId="5779A646" w14:textId="77777777" w:rsidR="00B17961" w:rsidRDefault="00B17961" w:rsidP="00B17961">
            <w:pPr>
              <w:spacing w:before="60" w:after="60"/>
              <w:jc w:val="center"/>
              <w:rPr>
                <w:rFonts w:ascii="Arial" w:hAnsi="Arial" w:cs="Arial"/>
                <w:sz w:val="20"/>
                <w:szCs w:val="20"/>
                <w:vertAlign w:val="superscript"/>
              </w:rPr>
            </w:pPr>
          </w:p>
          <w:p w14:paraId="70ECBDFE" w14:textId="77777777" w:rsidR="00B17961" w:rsidRDefault="00B17961" w:rsidP="00B17961">
            <w:pPr>
              <w:spacing w:before="60" w:after="60"/>
              <w:jc w:val="center"/>
              <w:rPr>
                <w:rFonts w:ascii="Arial" w:hAnsi="Arial" w:cs="Arial"/>
                <w:sz w:val="20"/>
                <w:szCs w:val="20"/>
                <w:vertAlign w:val="superscript"/>
              </w:rPr>
            </w:pPr>
          </w:p>
          <w:p w14:paraId="4541AF10" w14:textId="77777777" w:rsidR="00B17961" w:rsidRDefault="00B17961" w:rsidP="00B17961">
            <w:pPr>
              <w:spacing w:before="60" w:after="60"/>
              <w:rPr>
                <w:rFonts w:ascii="Arial" w:hAnsi="Arial" w:cs="Arial"/>
                <w:sz w:val="20"/>
                <w:szCs w:val="20"/>
                <w:vertAlign w:val="superscript"/>
              </w:rPr>
            </w:pPr>
          </w:p>
          <w:p w14:paraId="03E5C0F9" w14:textId="77777777" w:rsidR="00B17961" w:rsidRDefault="00B17961" w:rsidP="00B17961">
            <w:pPr>
              <w:spacing w:before="60" w:after="60"/>
              <w:rPr>
                <w:rFonts w:ascii="Arial" w:hAnsi="Arial" w:cs="Arial"/>
                <w:sz w:val="20"/>
                <w:szCs w:val="20"/>
                <w:vertAlign w:val="superscript"/>
              </w:rPr>
            </w:pPr>
          </w:p>
          <w:p w14:paraId="2028C0DD" w14:textId="77777777" w:rsidR="00B17961" w:rsidRPr="00626847" w:rsidRDefault="00B17961" w:rsidP="00B17961">
            <w:pPr>
              <w:spacing w:before="60" w:after="60"/>
              <w:jc w:val="center"/>
              <w:rPr>
                <w:rFonts w:ascii="Arial" w:hAnsi="Arial" w:cs="Arial"/>
                <w:sz w:val="20"/>
                <w:szCs w:val="20"/>
                <w:vertAlign w:val="superscript"/>
              </w:rPr>
            </w:pPr>
          </w:p>
        </w:tc>
      </w:tr>
      <w:bookmarkEnd w:id="2"/>
      <w:tr w:rsidR="00B17961" w:rsidRPr="00C004AF" w14:paraId="52A3CE4B" w14:textId="77777777" w:rsidTr="00B17961">
        <w:trPr>
          <w:cantSplit/>
        </w:trPr>
        <w:tc>
          <w:tcPr>
            <w:tcW w:w="675" w:type="dxa"/>
          </w:tcPr>
          <w:p w14:paraId="5F87E102" w14:textId="77777777" w:rsidR="00B17961" w:rsidRPr="00C004AF" w:rsidRDefault="00B17961" w:rsidP="00B17961">
            <w:pPr>
              <w:pStyle w:val="ListParagraph"/>
              <w:spacing w:before="60" w:after="60"/>
              <w:ind w:left="0"/>
              <w:contextualSpacing w:val="0"/>
              <w:rPr>
                <w:rFonts w:ascii="Arial" w:hAnsi="Arial" w:cs="Arial"/>
                <w:sz w:val="20"/>
                <w:szCs w:val="20"/>
              </w:rPr>
            </w:pPr>
            <w:r>
              <w:rPr>
                <w:rFonts w:ascii="Arial" w:hAnsi="Arial" w:cs="Arial"/>
                <w:sz w:val="20"/>
                <w:szCs w:val="20"/>
              </w:rPr>
              <w:t>13</w:t>
            </w:r>
          </w:p>
        </w:tc>
        <w:tc>
          <w:tcPr>
            <w:tcW w:w="3289" w:type="dxa"/>
          </w:tcPr>
          <w:p w14:paraId="7ACFEEF4" w14:textId="77777777" w:rsidR="00B17961" w:rsidRPr="00C004AF" w:rsidRDefault="00B17961" w:rsidP="00B17961">
            <w:pPr>
              <w:tabs>
                <w:tab w:val="left" w:pos="1147"/>
              </w:tabs>
              <w:spacing w:before="60" w:after="60"/>
              <w:rPr>
                <w:rFonts w:ascii="Arial" w:hAnsi="Arial" w:cs="Arial"/>
                <w:sz w:val="20"/>
                <w:szCs w:val="20"/>
                <w:u w:val="single"/>
              </w:rPr>
            </w:pPr>
            <w:r w:rsidRPr="00C004AF">
              <w:rPr>
                <w:rFonts w:ascii="Arial" w:hAnsi="Arial" w:cs="Arial"/>
                <w:sz w:val="20"/>
                <w:szCs w:val="20"/>
                <w:u w:val="single"/>
              </w:rPr>
              <w:t>Progress and attainment of looked after children:</w:t>
            </w:r>
          </w:p>
          <w:p w14:paraId="160EEFB1"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a)  Average Attainment 8 score of looked after children</w:t>
            </w:r>
          </w:p>
          <w:p w14:paraId="560E2640"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b)  Average Progress 8 score of looked after children</w:t>
            </w:r>
          </w:p>
          <w:p w14:paraId="77DE53FE"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 xml:space="preserve">c)  Closing the gap between Barnet LAC and Barnet average on Attainment 8 and Progress 8 </w:t>
            </w:r>
          </w:p>
          <w:p w14:paraId="274922F2"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d)  the quality of PEPs</w:t>
            </w:r>
          </w:p>
          <w:p w14:paraId="3BCE7881" w14:textId="77777777" w:rsidR="00B17961" w:rsidRPr="00C004AF" w:rsidRDefault="00B17961" w:rsidP="00B17961">
            <w:pPr>
              <w:tabs>
                <w:tab w:val="left" w:pos="1147"/>
              </w:tabs>
              <w:spacing w:before="60" w:after="60"/>
              <w:rPr>
                <w:rFonts w:ascii="Arial" w:hAnsi="Arial" w:cs="Arial"/>
                <w:sz w:val="20"/>
                <w:szCs w:val="20"/>
              </w:rPr>
            </w:pPr>
            <w:r>
              <w:rPr>
                <w:rFonts w:ascii="Arial" w:hAnsi="Arial" w:cs="Arial"/>
                <w:sz w:val="20"/>
                <w:szCs w:val="20"/>
              </w:rPr>
              <w:t xml:space="preserve">e)  </w:t>
            </w:r>
            <w:r w:rsidRPr="00C004AF">
              <w:rPr>
                <w:rFonts w:ascii="Arial" w:hAnsi="Arial" w:cs="Arial"/>
                <w:sz w:val="20"/>
                <w:szCs w:val="20"/>
              </w:rPr>
              <w:t>KS2 performance (expected standards in RWM)</w:t>
            </w:r>
          </w:p>
          <w:p w14:paraId="7AF1B77D"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 xml:space="preserve">f) </w:t>
            </w:r>
            <w:r>
              <w:rPr>
                <w:rFonts w:ascii="Arial" w:hAnsi="Arial" w:cs="Arial"/>
                <w:sz w:val="20"/>
                <w:szCs w:val="20"/>
              </w:rPr>
              <w:t xml:space="preserve"> </w:t>
            </w:r>
            <w:proofErr w:type="gramStart"/>
            <w:r w:rsidRPr="00C004AF">
              <w:rPr>
                <w:rFonts w:ascii="Arial" w:hAnsi="Arial" w:cs="Arial"/>
                <w:sz w:val="20"/>
                <w:szCs w:val="20"/>
              </w:rPr>
              <w:t>16-18 year old</w:t>
            </w:r>
            <w:proofErr w:type="gramEnd"/>
            <w:r w:rsidRPr="00C004AF">
              <w:rPr>
                <w:rFonts w:ascii="Arial" w:hAnsi="Arial" w:cs="Arial"/>
                <w:sz w:val="20"/>
                <w:szCs w:val="20"/>
              </w:rPr>
              <w:t xml:space="preserve"> NEETs</w:t>
            </w:r>
          </w:p>
          <w:p w14:paraId="26193351"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g)  Attendance of LACs</w:t>
            </w:r>
          </w:p>
          <w:p w14:paraId="2FD27C79"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h)  Exclusions</w:t>
            </w:r>
          </w:p>
        </w:tc>
        <w:tc>
          <w:tcPr>
            <w:tcW w:w="1843" w:type="dxa"/>
          </w:tcPr>
          <w:p w14:paraId="38FE03D3" w14:textId="77777777" w:rsidR="00B17961" w:rsidRDefault="00B17961" w:rsidP="00B17961">
            <w:pPr>
              <w:spacing w:before="60" w:after="60"/>
              <w:jc w:val="center"/>
              <w:rPr>
                <w:rFonts w:ascii="Arial" w:hAnsi="Arial" w:cs="Arial"/>
                <w:sz w:val="20"/>
                <w:szCs w:val="20"/>
              </w:rPr>
            </w:pPr>
          </w:p>
          <w:p w14:paraId="03E595A4" w14:textId="77777777" w:rsidR="00B17961" w:rsidRDefault="00B17961" w:rsidP="00B17961">
            <w:pPr>
              <w:spacing w:before="60" w:after="60"/>
              <w:jc w:val="center"/>
              <w:rPr>
                <w:rFonts w:ascii="Arial" w:hAnsi="Arial" w:cs="Arial"/>
                <w:sz w:val="20"/>
                <w:szCs w:val="20"/>
              </w:rPr>
            </w:pPr>
          </w:p>
          <w:p w14:paraId="19AA5BD8" w14:textId="77777777" w:rsidR="00B17961" w:rsidRPr="0040028B" w:rsidRDefault="00B17961" w:rsidP="00A51784">
            <w:pPr>
              <w:pStyle w:val="ListParagraph"/>
              <w:numPr>
                <w:ilvl w:val="0"/>
                <w:numId w:val="11"/>
              </w:numPr>
              <w:spacing w:before="60" w:after="60"/>
              <w:rPr>
                <w:rFonts w:ascii="Arial" w:hAnsi="Arial" w:cs="Arial"/>
                <w:sz w:val="20"/>
                <w:szCs w:val="20"/>
              </w:rPr>
            </w:pPr>
            <w:r w:rsidRPr="0040028B">
              <w:rPr>
                <w:rFonts w:ascii="Arial" w:hAnsi="Arial" w:cs="Arial"/>
                <w:sz w:val="20"/>
                <w:szCs w:val="20"/>
              </w:rPr>
              <w:t>1</w:t>
            </w:r>
            <w:r>
              <w:rPr>
                <w:rFonts w:ascii="Arial" w:hAnsi="Arial" w:cs="Arial"/>
                <w:sz w:val="20"/>
                <w:szCs w:val="20"/>
              </w:rPr>
              <w:t>9</w:t>
            </w:r>
            <w:r w:rsidRPr="0040028B">
              <w:rPr>
                <w:rFonts w:ascii="Arial" w:hAnsi="Arial" w:cs="Arial"/>
                <w:sz w:val="20"/>
                <w:szCs w:val="20"/>
              </w:rPr>
              <w:t>.</w:t>
            </w:r>
            <w:r>
              <w:rPr>
                <w:rFonts w:ascii="Arial" w:hAnsi="Arial" w:cs="Arial"/>
                <w:sz w:val="20"/>
                <w:szCs w:val="20"/>
              </w:rPr>
              <w:t>5</w:t>
            </w:r>
          </w:p>
          <w:p w14:paraId="379227D7" w14:textId="77777777" w:rsidR="00B17961" w:rsidRDefault="00B17961" w:rsidP="00A51784">
            <w:pPr>
              <w:pStyle w:val="ListParagraph"/>
              <w:numPr>
                <w:ilvl w:val="0"/>
                <w:numId w:val="11"/>
              </w:numPr>
              <w:spacing w:before="60" w:after="60"/>
              <w:rPr>
                <w:rFonts w:ascii="Arial" w:hAnsi="Arial" w:cs="Arial"/>
                <w:sz w:val="20"/>
                <w:szCs w:val="20"/>
              </w:rPr>
            </w:pPr>
            <w:r w:rsidRPr="0040028B">
              <w:rPr>
                <w:rFonts w:ascii="Arial" w:hAnsi="Arial" w:cs="Arial"/>
                <w:sz w:val="20"/>
                <w:szCs w:val="20"/>
              </w:rPr>
              <w:t>-1.</w:t>
            </w:r>
            <w:r>
              <w:rPr>
                <w:rFonts w:ascii="Arial" w:hAnsi="Arial" w:cs="Arial"/>
                <w:sz w:val="20"/>
                <w:szCs w:val="20"/>
              </w:rPr>
              <w:t>66</w:t>
            </w:r>
          </w:p>
          <w:p w14:paraId="7D0F29AF" w14:textId="77777777" w:rsidR="00B17961" w:rsidRPr="0040028B" w:rsidRDefault="00B17961" w:rsidP="00A51784">
            <w:pPr>
              <w:pStyle w:val="ListParagraph"/>
              <w:numPr>
                <w:ilvl w:val="0"/>
                <w:numId w:val="11"/>
              </w:numPr>
              <w:spacing w:before="60" w:after="60"/>
              <w:rPr>
                <w:rFonts w:ascii="Arial" w:hAnsi="Arial" w:cs="Arial"/>
                <w:sz w:val="20"/>
                <w:szCs w:val="20"/>
              </w:rPr>
            </w:pPr>
            <w:r w:rsidRPr="0040028B">
              <w:rPr>
                <w:rFonts w:ascii="Arial" w:hAnsi="Arial" w:cs="Arial"/>
                <w:sz w:val="20"/>
                <w:szCs w:val="20"/>
              </w:rPr>
              <w:t xml:space="preserve"> A</w:t>
            </w:r>
            <w:proofErr w:type="gramStart"/>
            <w:r w:rsidRPr="0040028B">
              <w:rPr>
                <w:rFonts w:ascii="Arial" w:hAnsi="Arial" w:cs="Arial"/>
                <w:sz w:val="20"/>
                <w:szCs w:val="20"/>
              </w:rPr>
              <w:t xml:space="preserve">8 </w:t>
            </w:r>
            <w:r>
              <w:rPr>
                <w:rFonts w:ascii="Arial" w:hAnsi="Arial" w:cs="Arial"/>
                <w:sz w:val="20"/>
                <w:szCs w:val="20"/>
              </w:rPr>
              <w:t xml:space="preserve"> -</w:t>
            </w:r>
            <w:proofErr w:type="gramEnd"/>
            <w:r w:rsidRPr="0040028B">
              <w:rPr>
                <w:rFonts w:ascii="Arial" w:hAnsi="Arial" w:cs="Arial"/>
                <w:sz w:val="20"/>
                <w:szCs w:val="20"/>
              </w:rPr>
              <w:t>3</w:t>
            </w:r>
            <w:r>
              <w:rPr>
                <w:rFonts w:ascii="Arial" w:hAnsi="Arial" w:cs="Arial"/>
                <w:sz w:val="20"/>
                <w:szCs w:val="20"/>
              </w:rPr>
              <w:t>6.6</w:t>
            </w:r>
          </w:p>
          <w:p w14:paraId="49BF22D3" w14:textId="77777777" w:rsidR="00B17961" w:rsidRPr="00B87B72" w:rsidRDefault="00B17961" w:rsidP="00B17961">
            <w:pPr>
              <w:spacing w:before="60" w:after="60"/>
              <w:jc w:val="center"/>
              <w:rPr>
                <w:rFonts w:ascii="Arial" w:hAnsi="Arial" w:cs="Arial"/>
                <w:sz w:val="20"/>
                <w:szCs w:val="20"/>
              </w:rPr>
            </w:pPr>
            <w:r w:rsidRPr="00B87B72">
              <w:rPr>
                <w:rFonts w:ascii="Arial" w:hAnsi="Arial" w:cs="Arial"/>
                <w:sz w:val="20"/>
                <w:szCs w:val="20"/>
              </w:rPr>
              <w:t>P</w:t>
            </w:r>
            <w:proofErr w:type="gramStart"/>
            <w:r w:rsidRPr="00B87B72">
              <w:rPr>
                <w:rFonts w:ascii="Arial" w:hAnsi="Arial" w:cs="Arial"/>
                <w:sz w:val="20"/>
                <w:szCs w:val="20"/>
              </w:rPr>
              <w:t>8</w:t>
            </w:r>
            <w:r>
              <w:rPr>
                <w:rFonts w:ascii="Arial" w:hAnsi="Arial" w:cs="Arial"/>
                <w:sz w:val="20"/>
                <w:szCs w:val="20"/>
              </w:rPr>
              <w:t xml:space="preserve">  -</w:t>
            </w:r>
            <w:proofErr w:type="gramEnd"/>
            <w:r>
              <w:rPr>
                <w:rFonts w:ascii="Arial" w:hAnsi="Arial" w:cs="Arial"/>
                <w:sz w:val="20"/>
                <w:szCs w:val="20"/>
              </w:rPr>
              <w:t>1.99</w:t>
            </w:r>
          </w:p>
          <w:p w14:paraId="44A7C30E" w14:textId="77777777" w:rsidR="00B17961" w:rsidRDefault="00B17961" w:rsidP="00B17961">
            <w:pPr>
              <w:spacing w:before="60" w:after="60"/>
              <w:jc w:val="center"/>
              <w:rPr>
                <w:rFonts w:ascii="Arial" w:hAnsi="Arial" w:cs="Arial"/>
                <w:sz w:val="20"/>
                <w:szCs w:val="20"/>
              </w:rPr>
            </w:pPr>
          </w:p>
          <w:p w14:paraId="72F2D815" w14:textId="77777777" w:rsidR="00B17961" w:rsidRPr="0040028B" w:rsidRDefault="00B17961" w:rsidP="00A51784">
            <w:pPr>
              <w:pStyle w:val="ListParagraph"/>
              <w:numPr>
                <w:ilvl w:val="0"/>
                <w:numId w:val="11"/>
              </w:numPr>
              <w:spacing w:before="60" w:after="60"/>
              <w:rPr>
                <w:rFonts w:ascii="Arial" w:hAnsi="Arial" w:cs="Arial"/>
                <w:sz w:val="20"/>
                <w:szCs w:val="20"/>
              </w:rPr>
            </w:pPr>
            <w:r w:rsidRPr="0040028B">
              <w:rPr>
                <w:rFonts w:ascii="Arial" w:hAnsi="Arial" w:cs="Arial"/>
                <w:sz w:val="20"/>
                <w:szCs w:val="20"/>
              </w:rPr>
              <w:t>Primary 96%;</w:t>
            </w:r>
            <w:r>
              <w:rPr>
                <w:rFonts w:ascii="Arial" w:hAnsi="Arial" w:cs="Arial"/>
                <w:sz w:val="20"/>
                <w:szCs w:val="20"/>
              </w:rPr>
              <w:t xml:space="preserve"> </w:t>
            </w:r>
            <w:r w:rsidRPr="0040028B">
              <w:rPr>
                <w:rFonts w:ascii="Arial" w:hAnsi="Arial" w:cs="Arial"/>
                <w:sz w:val="20"/>
                <w:szCs w:val="20"/>
              </w:rPr>
              <w:t xml:space="preserve">Secondary </w:t>
            </w:r>
            <w:r>
              <w:rPr>
                <w:rFonts w:ascii="Arial" w:hAnsi="Arial" w:cs="Arial"/>
                <w:sz w:val="20"/>
                <w:szCs w:val="20"/>
              </w:rPr>
              <w:t>85%</w:t>
            </w:r>
          </w:p>
          <w:p w14:paraId="6958A253" w14:textId="77777777" w:rsidR="00B17961" w:rsidRPr="0040028B" w:rsidRDefault="00B17961" w:rsidP="00A51784">
            <w:pPr>
              <w:pStyle w:val="ListParagraph"/>
              <w:numPr>
                <w:ilvl w:val="0"/>
                <w:numId w:val="11"/>
              </w:numPr>
              <w:spacing w:before="60" w:after="60"/>
              <w:rPr>
                <w:rFonts w:ascii="Arial" w:hAnsi="Arial" w:cs="Arial"/>
                <w:sz w:val="20"/>
                <w:szCs w:val="20"/>
              </w:rPr>
            </w:pPr>
            <w:r w:rsidRPr="0040028B">
              <w:rPr>
                <w:rFonts w:ascii="Arial" w:hAnsi="Arial" w:cs="Arial"/>
                <w:sz w:val="20"/>
                <w:szCs w:val="20"/>
              </w:rPr>
              <w:t>45%</w:t>
            </w:r>
          </w:p>
          <w:p w14:paraId="08583E5F" w14:textId="77777777" w:rsidR="00B17961" w:rsidRDefault="00B17961" w:rsidP="00B17961">
            <w:pPr>
              <w:spacing w:before="60" w:after="60"/>
              <w:rPr>
                <w:rFonts w:ascii="Arial" w:hAnsi="Arial" w:cs="Arial"/>
                <w:sz w:val="20"/>
                <w:szCs w:val="20"/>
              </w:rPr>
            </w:pPr>
            <w:r>
              <w:rPr>
                <w:rFonts w:ascii="Arial" w:hAnsi="Arial" w:cs="Arial"/>
                <w:sz w:val="20"/>
                <w:szCs w:val="20"/>
              </w:rPr>
              <w:t xml:space="preserve">f)    </w:t>
            </w:r>
            <w:r w:rsidRPr="00B87B72">
              <w:rPr>
                <w:rFonts w:ascii="Arial" w:hAnsi="Arial" w:cs="Arial"/>
                <w:sz w:val="20"/>
                <w:szCs w:val="20"/>
              </w:rPr>
              <w:t>30%</w:t>
            </w:r>
          </w:p>
          <w:p w14:paraId="3C5D6B6C" w14:textId="77777777" w:rsidR="00B17961" w:rsidRDefault="00B17961" w:rsidP="00B17961">
            <w:pPr>
              <w:spacing w:before="60" w:after="60"/>
              <w:rPr>
                <w:rFonts w:ascii="Arial" w:hAnsi="Arial" w:cs="Arial"/>
                <w:sz w:val="20"/>
                <w:szCs w:val="20"/>
              </w:rPr>
            </w:pPr>
            <w:r>
              <w:rPr>
                <w:rFonts w:ascii="Arial" w:hAnsi="Arial" w:cs="Arial"/>
                <w:sz w:val="20"/>
                <w:szCs w:val="20"/>
              </w:rPr>
              <w:t>g)    96%</w:t>
            </w:r>
          </w:p>
          <w:p w14:paraId="66EEEED1"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h)     0</w:t>
            </w:r>
          </w:p>
        </w:tc>
        <w:tc>
          <w:tcPr>
            <w:tcW w:w="1559" w:type="dxa"/>
          </w:tcPr>
          <w:p w14:paraId="774CA6EF"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N/A – no targets set</w:t>
            </w:r>
          </w:p>
        </w:tc>
        <w:tc>
          <w:tcPr>
            <w:tcW w:w="1701" w:type="dxa"/>
            <w:tcBorders>
              <w:bottom w:val="single" w:sz="4" w:space="0" w:color="auto"/>
            </w:tcBorders>
            <w:shd w:val="clear" w:color="auto" w:fill="6DF828"/>
          </w:tcPr>
          <w:p w14:paraId="52AD04F3" w14:textId="77777777" w:rsidR="00B17961" w:rsidRDefault="00B17961" w:rsidP="00B17961">
            <w:pPr>
              <w:spacing w:before="60" w:after="60"/>
              <w:jc w:val="center"/>
              <w:rPr>
                <w:rFonts w:ascii="Arial" w:hAnsi="Arial" w:cs="Arial"/>
                <w:sz w:val="20"/>
                <w:szCs w:val="20"/>
              </w:rPr>
            </w:pPr>
            <w:r>
              <w:rPr>
                <w:rFonts w:ascii="Arial" w:hAnsi="Arial" w:cs="Arial"/>
                <w:sz w:val="20"/>
                <w:szCs w:val="20"/>
              </w:rPr>
              <w:t>N/A – not available until May 2019</w:t>
            </w:r>
          </w:p>
        </w:tc>
      </w:tr>
      <w:tr w:rsidR="00B17961" w:rsidRPr="00C004AF" w14:paraId="0E1B78FF" w14:textId="77777777" w:rsidTr="00B17961">
        <w:trPr>
          <w:cantSplit/>
        </w:trPr>
        <w:tc>
          <w:tcPr>
            <w:tcW w:w="675" w:type="dxa"/>
          </w:tcPr>
          <w:p w14:paraId="712E024A"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14</w:t>
            </w:r>
          </w:p>
        </w:tc>
        <w:tc>
          <w:tcPr>
            <w:tcW w:w="3289" w:type="dxa"/>
          </w:tcPr>
          <w:p w14:paraId="0D1AB211" w14:textId="77777777" w:rsidR="00B17961" w:rsidRPr="00C004AF" w:rsidRDefault="00B17961" w:rsidP="00B17961">
            <w:pPr>
              <w:tabs>
                <w:tab w:val="left" w:pos="1147"/>
              </w:tabs>
              <w:spacing w:before="60" w:after="60"/>
              <w:rPr>
                <w:rFonts w:ascii="Arial" w:hAnsi="Arial" w:cs="Arial"/>
                <w:sz w:val="20"/>
                <w:szCs w:val="20"/>
                <w:u w:val="single"/>
              </w:rPr>
            </w:pPr>
            <w:r w:rsidRPr="00C004AF">
              <w:rPr>
                <w:rFonts w:ascii="Arial" w:hAnsi="Arial" w:cs="Arial"/>
                <w:sz w:val="20"/>
                <w:szCs w:val="20"/>
                <w:u w:val="single"/>
              </w:rPr>
              <w:t>Attainment and progress of SEND pupils with a statement or EHCP:</w:t>
            </w:r>
          </w:p>
          <w:p w14:paraId="542E0047" w14:textId="77777777" w:rsidR="00B17961" w:rsidRPr="00C004AF" w:rsidRDefault="00B17961" w:rsidP="00B17961">
            <w:pPr>
              <w:tabs>
                <w:tab w:val="left" w:pos="1147"/>
              </w:tabs>
              <w:spacing w:before="60" w:after="60"/>
              <w:rPr>
                <w:rFonts w:ascii="Arial" w:hAnsi="Arial" w:cs="Arial"/>
                <w:sz w:val="20"/>
                <w:szCs w:val="20"/>
              </w:rPr>
            </w:pPr>
            <w:r w:rsidRPr="00C004AF">
              <w:rPr>
                <w:rFonts w:ascii="Arial" w:hAnsi="Arial" w:cs="Arial"/>
                <w:sz w:val="20"/>
                <w:szCs w:val="20"/>
              </w:rPr>
              <w:t xml:space="preserve">The percentage </w:t>
            </w:r>
            <w:proofErr w:type="gramStart"/>
            <w:r w:rsidRPr="00C004AF">
              <w:rPr>
                <w:rFonts w:ascii="Arial" w:hAnsi="Arial" w:cs="Arial"/>
                <w:sz w:val="20"/>
                <w:szCs w:val="20"/>
              </w:rPr>
              <w:t>of  SEND</w:t>
            </w:r>
            <w:proofErr w:type="gramEnd"/>
            <w:r w:rsidRPr="00C004AF">
              <w:rPr>
                <w:rFonts w:ascii="Arial" w:hAnsi="Arial" w:cs="Arial"/>
                <w:sz w:val="20"/>
                <w:szCs w:val="20"/>
              </w:rPr>
              <w:t xml:space="preserve"> </w:t>
            </w:r>
            <w:r>
              <w:rPr>
                <w:rFonts w:ascii="Arial" w:hAnsi="Arial" w:cs="Arial"/>
                <w:sz w:val="20"/>
                <w:szCs w:val="20"/>
              </w:rPr>
              <w:t>pupils with a statement or EHCP:</w:t>
            </w:r>
          </w:p>
          <w:p w14:paraId="03CD964A" w14:textId="77777777" w:rsidR="00B17961" w:rsidRPr="00C004AF" w:rsidRDefault="00B17961" w:rsidP="00B17961">
            <w:pPr>
              <w:tabs>
                <w:tab w:val="left" w:pos="1147"/>
              </w:tabs>
              <w:spacing w:before="60" w:after="60"/>
              <w:rPr>
                <w:rFonts w:ascii="Arial" w:hAnsi="Arial" w:cs="Arial"/>
                <w:sz w:val="20"/>
                <w:szCs w:val="20"/>
              </w:rPr>
            </w:pPr>
            <w:proofErr w:type="spellStart"/>
            <w:proofErr w:type="gramStart"/>
            <w:r w:rsidRPr="00C004AF">
              <w:rPr>
                <w:rFonts w:ascii="Arial" w:hAnsi="Arial" w:cs="Arial"/>
                <w:sz w:val="20"/>
                <w:szCs w:val="20"/>
              </w:rPr>
              <w:t>a</w:t>
            </w:r>
            <w:proofErr w:type="spellEnd"/>
            <w:r w:rsidRPr="00C004AF">
              <w:rPr>
                <w:rFonts w:ascii="Arial" w:hAnsi="Arial" w:cs="Arial"/>
                <w:sz w:val="20"/>
                <w:szCs w:val="20"/>
              </w:rPr>
              <w:t>  Attaining</w:t>
            </w:r>
            <w:proofErr w:type="gramEnd"/>
            <w:r w:rsidRPr="00C004AF">
              <w:rPr>
                <w:rFonts w:ascii="Arial" w:hAnsi="Arial" w:cs="Arial"/>
                <w:sz w:val="20"/>
                <w:szCs w:val="20"/>
              </w:rPr>
              <w:t xml:space="preserve"> the ‘expected standard’ in English Reading, English Writing and Mathematics at the end of Key Stage 2  (50% of points)</w:t>
            </w:r>
          </w:p>
          <w:p w14:paraId="010B36FB" w14:textId="77777777" w:rsidR="00B17961" w:rsidRPr="00C004AF" w:rsidRDefault="00B17961" w:rsidP="00B17961">
            <w:pPr>
              <w:tabs>
                <w:tab w:val="left" w:pos="1147"/>
              </w:tabs>
              <w:spacing w:before="60" w:after="60"/>
              <w:rPr>
                <w:rFonts w:ascii="Arial" w:hAnsi="Arial" w:cs="Arial"/>
                <w:sz w:val="20"/>
                <w:szCs w:val="20"/>
              </w:rPr>
            </w:pPr>
            <w:proofErr w:type="gramStart"/>
            <w:r w:rsidRPr="00C004AF">
              <w:rPr>
                <w:rFonts w:ascii="Arial" w:hAnsi="Arial" w:cs="Arial"/>
                <w:sz w:val="20"/>
                <w:szCs w:val="20"/>
              </w:rPr>
              <w:t>b  Average</w:t>
            </w:r>
            <w:proofErr w:type="gramEnd"/>
            <w:r w:rsidRPr="00C004AF">
              <w:rPr>
                <w:rFonts w:ascii="Arial" w:hAnsi="Arial" w:cs="Arial"/>
                <w:sz w:val="20"/>
                <w:szCs w:val="20"/>
              </w:rPr>
              <w:t xml:space="preserve"> attainment 8 score pupils with a statement of SEN or EHCP (25% of points)</w:t>
            </w:r>
          </w:p>
          <w:p w14:paraId="2648E119" w14:textId="77777777" w:rsidR="00B17961" w:rsidRPr="00C004AF" w:rsidRDefault="00B17961" w:rsidP="00B17961">
            <w:pPr>
              <w:tabs>
                <w:tab w:val="left" w:pos="1147"/>
              </w:tabs>
              <w:spacing w:before="60" w:after="60"/>
              <w:rPr>
                <w:rFonts w:ascii="Arial" w:hAnsi="Arial" w:cs="Arial"/>
                <w:sz w:val="20"/>
                <w:szCs w:val="20"/>
              </w:rPr>
            </w:pPr>
            <w:proofErr w:type="gramStart"/>
            <w:r w:rsidRPr="00C004AF">
              <w:rPr>
                <w:rFonts w:ascii="Arial" w:hAnsi="Arial" w:cs="Arial"/>
                <w:sz w:val="20"/>
                <w:szCs w:val="20"/>
              </w:rPr>
              <w:t>c  Average</w:t>
            </w:r>
            <w:proofErr w:type="gramEnd"/>
            <w:r w:rsidRPr="00C004AF">
              <w:rPr>
                <w:rFonts w:ascii="Arial" w:hAnsi="Arial" w:cs="Arial"/>
                <w:sz w:val="20"/>
                <w:szCs w:val="20"/>
              </w:rPr>
              <w:t xml:space="preserve"> progress 8 score pupils with a statement of SEN or EHCP (25% of points)</w:t>
            </w:r>
          </w:p>
        </w:tc>
        <w:tc>
          <w:tcPr>
            <w:tcW w:w="1843" w:type="dxa"/>
          </w:tcPr>
          <w:p w14:paraId="54F05279" w14:textId="77777777" w:rsidR="00B17961" w:rsidRDefault="00B17961" w:rsidP="00B17961">
            <w:pPr>
              <w:spacing w:before="60" w:after="60"/>
              <w:jc w:val="center"/>
              <w:rPr>
                <w:rFonts w:ascii="Arial" w:hAnsi="Arial" w:cs="Arial"/>
                <w:sz w:val="20"/>
                <w:szCs w:val="20"/>
              </w:rPr>
            </w:pPr>
          </w:p>
          <w:p w14:paraId="2298E1DC" w14:textId="77777777" w:rsidR="00B17961" w:rsidRDefault="00B17961" w:rsidP="00B17961">
            <w:pPr>
              <w:spacing w:before="60" w:after="60"/>
              <w:jc w:val="center"/>
              <w:rPr>
                <w:rFonts w:ascii="Arial" w:hAnsi="Arial" w:cs="Arial"/>
                <w:sz w:val="20"/>
                <w:szCs w:val="20"/>
              </w:rPr>
            </w:pPr>
          </w:p>
          <w:p w14:paraId="5E1D744F" w14:textId="77777777" w:rsidR="00B17961" w:rsidRDefault="00B17961" w:rsidP="00B17961">
            <w:pPr>
              <w:spacing w:before="60" w:after="60"/>
              <w:jc w:val="center"/>
              <w:rPr>
                <w:rFonts w:ascii="Arial" w:hAnsi="Arial" w:cs="Arial"/>
                <w:sz w:val="20"/>
                <w:szCs w:val="20"/>
              </w:rPr>
            </w:pPr>
          </w:p>
          <w:p w14:paraId="2B03EE2A" w14:textId="77777777" w:rsidR="00B17961" w:rsidRDefault="00B17961" w:rsidP="00B17961">
            <w:pPr>
              <w:spacing w:before="60" w:after="60"/>
              <w:jc w:val="center"/>
              <w:rPr>
                <w:rFonts w:ascii="Arial" w:hAnsi="Arial" w:cs="Arial"/>
                <w:sz w:val="20"/>
                <w:szCs w:val="20"/>
              </w:rPr>
            </w:pPr>
          </w:p>
          <w:p w14:paraId="50D49793" w14:textId="77777777" w:rsidR="00B17961" w:rsidRDefault="00B17961" w:rsidP="00B17961">
            <w:pPr>
              <w:spacing w:before="60" w:after="60"/>
              <w:jc w:val="center"/>
              <w:rPr>
                <w:rFonts w:ascii="Arial" w:hAnsi="Arial" w:cs="Arial"/>
                <w:sz w:val="20"/>
                <w:szCs w:val="20"/>
              </w:rPr>
            </w:pPr>
          </w:p>
          <w:p w14:paraId="06C7C5D6" w14:textId="77777777" w:rsidR="00B17961" w:rsidRDefault="00B17961" w:rsidP="00B17961">
            <w:pPr>
              <w:spacing w:before="60" w:after="60"/>
              <w:jc w:val="center"/>
              <w:rPr>
                <w:rFonts w:ascii="Arial" w:hAnsi="Arial" w:cs="Arial"/>
                <w:sz w:val="20"/>
                <w:szCs w:val="20"/>
              </w:rPr>
            </w:pPr>
          </w:p>
          <w:p w14:paraId="38FD57A4" w14:textId="77777777" w:rsidR="00B17961" w:rsidRDefault="00B17961" w:rsidP="00B17961">
            <w:pPr>
              <w:spacing w:before="60" w:after="60"/>
              <w:jc w:val="center"/>
              <w:rPr>
                <w:rFonts w:ascii="Arial" w:hAnsi="Arial" w:cs="Arial"/>
                <w:sz w:val="20"/>
                <w:szCs w:val="20"/>
              </w:rPr>
            </w:pPr>
            <w:r>
              <w:rPr>
                <w:rFonts w:ascii="Arial" w:hAnsi="Arial" w:cs="Arial"/>
                <w:sz w:val="20"/>
                <w:szCs w:val="20"/>
              </w:rPr>
              <w:t>10%</w:t>
            </w:r>
          </w:p>
          <w:p w14:paraId="6A18118E" w14:textId="77777777" w:rsidR="00B17961" w:rsidRDefault="00B17961" w:rsidP="00B17961">
            <w:pPr>
              <w:spacing w:before="60" w:after="60"/>
              <w:jc w:val="center"/>
              <w:rPr>
                <w:rFonts w:ascii="Arial" w:hAnsi="Arial" w:cs="Arial"/>
                <w:sz w:val="20"/>
                <w:szCs w:val="20"/>
              </w:rPr>
            </w:pPr>
          </w:p>
          <w:p w14:paraId="386672C4" w14:textId="77777777" w:rsidR="00B17961" w:rsidRDefault="00B17961" w:rsidP="00B17961">
            <w:pPr>
              <w:spacing w:before="60" w:after="60"/>
              <w:jc w:val="center"/>
              <w:rPr>
                <w:rFonts w:ascii="Arial" w:hAnsi="Arial" w:cs="Arial"/>
                <w:sz w:val="20"/>
                <w:szCs w:val="20"/>
              </w:rPr>
            </w:pPr>
          </w:p>
          <w:p w14:paraId="4D4D9E8C" w14:textId="77777777" w:rsidR="00B17961" w:rsidRDefault="00B17961" w:rsidP="00B17961">
            <w:pPr>
              <w:spacing w:before="60" w:after="60"/>
              <w:jc w:val="center"/>
              <w:rPr>
                <w:rFonts w:ascii="Arial" w:hAnsi="Arial" w:cs="Arial"/>
                <w:sz w:val="20"/>
                <w:szCs w:val="20"/>
              </w:rPr>
            </w:pPr>
            <w:r>
              <w:rPr>
                <w:rFonts w:ascii="Arial" w:hAnsi="Arial" w:cs="Arial"/>
                <w:sz w:val="20"/>
                <w:szCs w:val="20"/>
              </w:rPr>
              <w:t>23.2</w:t>
            </w:r>
          </w:p>
          <w:p w14:paraId="35C8366E" w14:textId="77777777" w:rsidR="00B17961" w:rsidRDefault="00B17961" w:rsidP="00B17961">
            <w:pPr>
              <w:spacing w:before="60" w:after="60"/>
              <w:jc w:val="center"/>
              <w:rPr>
                <w:rFonts w:ascii="Arial" w:hAnsi="Arial" w:cs="Arial"/>
                <w:sz w:val="20"/>
                <w:szCs w:val="20"/>
              </w:rPr>
            </w:pPr>
          </w:p>
          <w:p w14:paraId="5CDCDE12"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-0.72</w:t>
            </w:r>
          </w:p>
        </w:tc>
        <w:tc>
          <w:tcPr>
            <w:tcW w:w="1559" w:type="dxa"/>
          </w:tcPr>
          <w:p w14:paraId="204036A7" w14:textId="77777777" w:rsidR="00B17961" w:rsidRDefault="00B17961" w:rsidP="00B17961">
            <w:pPr>
              <w:spacing w:before="60" w:after="60"/>
              <w:jc w:val="center"/>
              <w:rPr>
                <w:rFonts w:ascii="Arial" w:hAnsi="Arial" w:cs="Arial"/>
                <w:sz w:val="20"/>
                <w:szCs w:val="20"/>
              </w:rPr>
            </w:pPr>
          </w:p>
          <w:p w14:paraId="5A7D5D8A" w14:textId="77777777" w:rsidR="00B17961" w:rsidRPr="0057385F" w:rsidRDefault="00B17961" w:rsidP="00B17961">
            <w:pPr>
              <w:jc w:val="center"/>
              <w:rPr>
                <w:rFonts w:ascii="Arial" w:hAnsi="Arial" w:cs="Arial"/>
                <w:sz w:val="20"/>
                <w:szCs w:val="20"/>
              </w:rPr>
            </w:pPr>
            <w:r>
              <w:rPr>
                <w:rFonts w:ascii="Arial" w:hAnsi="Arial" w:cs="Arial"/>
                <w:sz w:val="20"/>
                <w:szCs w:val="20"/>
              </w:rPr>
              <w:t>Top 10% (ranked 15</w:t>
            </w:r>
            <w:r w:rsidRPr="003B1D70">
              <w:rPr>
                <w:rFonts w:ascii="Arial" w:hAnsi="Arial" w:cs="Arial"/>
                <w:sz w:val="20"/>
                <w:szCs w:val="20"/>
                <w:vertAlign w:val="superscript"/>
              </w:rPr>
              <w:t>th</w:t>
            </w:r>
            <w:r>
              <w:rPr>
                <w:rFonts w:ascii="Arial" w:hAnsi="Arial" w:cs="Arial"/>
                <w:sz w:val="20"/>
                <w:szCs w:val="20"/>
              </w:rPr>
              <w:t xml:space="preserve"> or better)</w:t>
            </w:r>
          </w:p>
          <w:p w14:paraId="167A4BCE" w14:textId="77777777" w:rsidR="00B17961" w:rsidRDefault="00B17961" w:rsidP="00B17961">
            <w:pPr>
              <w:rPr>
                <w:rFonts w:ascii="Arial" w:hAnsi="Arial" w:cs="Arial"/>
                <w:sz w:val="20"/>
                <w:szCs w:val="20"/>
              </w:rPr>
            </w:pPr>
          </w:p>
          <w:p w14:paraId="6CBADB0D" w14:textId="77777777" w:rsidR="00B17961" w:rsidRDefault="00B17961" w:rsidP="00B17961">
            <w:pPr>
              <w:rPr>
                <w:rFonts w:ascii="Arial" w:hAnsi="Arial" w:cs="Arial"/>
                <w:sz w:val="20"/>
                <w:szCs w:val="20"/>
              </w:rPr>
            </w:pPr>
          </w:p>
          <w:p w14:paraId="57726AEC" w14:textId="77777777" w:rsidR="00B17961" w:rsidRDefault="00B17961" w:rsidP="00B17961">
            <w:pPr>
              <w:rPr>
                <w:rFonts w:ascii="Arial" w:hAnsi="Arial" w:cs="Arial"/>
                <w:sz w:val="20"/>
                <w:szCs w:val="20"/>
              </w:rPr>
            </w:pPr>
          </w:p>
          <w:p w14:paraId="5B7CBA79" w14:textId="77777777" w:rsidR="00B17961" w:rsidRPr="0057385F" w:rsidRDefault="00B17961" w:rsidP="00B17961">
            <w:pPr>
              <w:jc w:val="center"/>
              <w:rPr>
                <w:rFonts w:ascii="Arial" w:hAnsi="Arial" w:cs="Arial"/>
                <w:sz w:val="20"/>
                <w:szCs w:val="20"/>
              </w:rPr>
            </w:pPr>
          </w:p>
        </w:tc>
        <w:tc>
          <w:tcPr>
            <w:tcW w:w="1701" w:type="dxa"/>
            <w:tcBorders>
              <w:bottom w:val="single" w:sz="4" w:space="0" w:color="auto"/>
            </w:tcBorders>
            <w:shd w:val="clear" w:color="auto" w:fill="6DF828"/>
          </w:tcPr>
          <w:p w14:paraId="5B0A8C85" w14:textId="77777777" w:rsidR="00B17961" w:rsidRDefault="00B17961" w:rsidP="00B17961">
            <w:pPr>
              <w:spacing w:before="60" w:after="60"/>
              <w:jc w:val="center"/>
              <w:rPr>
                <w:rFonts w:ascii="Arial" w:hAnsi="Arial" w:cs="Arial"/>
                <w:sz w:val="20"/>
                <w:szCs w:val="20"/>
              </w:rPr>
            </w:pPr>
          </w:p>
          <w:p w14:paraId="3EBDBEFB" w14:textId="77777777" w:rsidR="00B17961" w:rsidRDefault="00B17961" w:rsidP="00B17961">
            <w:pPr>
              <w:spacing w:before="60" w:after="60"/>
              <w:jc w:val="center"/>
              <w:rPr>
                <w:rFonts w:ascii="Arial" w:hAnsi="Arial" w:cs="Arial"/>
                <w:sz w:val="20"/>
                <w:szCs w:val="20"/>
              </w:rPr>
            </w:pPr>
          </w:p>
          <w:p w14:paraId="105475E8" w14:textId="77777777" w:rsidR="00B17961" w:rsidRDefault="00B17961" w:rsidP="00B17961">
            <w:pPr>
              <w:spacing w:before="60" w:after="60"/>
              <w:jc w:val="center"/>
              <w:rPr>
                <w:rFonts w:ascii="Arial" w:hAnsi="Arial" w:cs="Arial"/>
                <w:sz w:val="20"/>
                <w:szCs w:val="20"/>
              </w:rPr>
            </w:pPr>
          </w:p>
          <w:p w14:paraId="133C0D24" w14:textId="77777777" w:rsidR="00B17961" w:rsidRDefault="00B17961" w:rsidP="00B17961">
            <w:pPr>
              <w:spacing w:before="60" w:after="60"/>
              <w:jc w:val="center"/>
              <w:rPr>
                <w:rFonts w:ascii="Arial" w:hAnsi="Arial" w:cs="Arial"/>
                <w:sz w:val="20"/>
                <w:szCs w:val="20"/>
              </w:rPr>
            </w:pPr>
          </w:p>
          <w:p w14:paraId="01D0D8FA" w14:textId="77777777" w:rsidR="00B17961" w:rsidRDefault="00B17961" w:rsidP="00B17961">
            <w:pPr>
              <w:spacing w:before="60" w:after="60"/>
              <w:jc w:val="center"/>
              <w:rPr>
                <w:rFonts w:ascii="Arial" w:hAnsi="Arial" w:cs="Arial"/>
                <w:sz w:val="20"/>
                <w:szCs w:val="20"/>
              </w:rPr>
            </w:pPr>
          </w:p>
          <w:p w14:paraId="44209974" w14:textId="77777777" w:rsidR="00B17961" w:rsidRDefault="00B17961" w:rsidP="00B17961">
            <w:pPr>
              <w:spacing w:before="60" w:after="60"/>
              <w:jc w:val="center"/>
              <w:rPr>
                <w:rFonts w:ascii="Arial" w:hAnsi="Arial" w:cs="Arial"/>
                <w:sz w:val="20"/>
                <w:szCs w:val="20"/>
              </w:rPr>
            </w:pPr>
          </w:p>
          <w:p w14:paraId="31ABDE8C" w14:textId="77777777" w:rsidR="00B17961" w:rsidRDefault="00B17961" w:rsidP="00B17961">
            <w:pPr>
              <w:spacing w:before="60" w:after="60"/>
              <w:jc w:val="center"/>
              <w:rPr>
                <w:rFonts w:ascii="Arial" w:hAnsi="Arial" w:cs="Arial"/>
                <w:sz w:val="20"/>
                <w:szCs w:val="20"/>
              </w:rPr>
            </w:pPr>
            <w:r>
              <w:rPr>
                <w:rFonts w:ascii="Arial" w:hAnsi="Arial" w:cs="Arial"/>
                <w:sz w:val="20"/>
                <w:szCs w:val="20"/>
              </w:rPr>
              <w:t>16% (7</w:t>
            </w:r>
            <w:r w:rsidRPr="00325EC3">
              <w:rPr>
                <w:rFonts w:ascii="Arial" w:hAnsi="Arial" w:cs="Arial"/>
                <w:sz w:val="20"/>
                <w:szCs w:val="20"/>
                <w:vertAlign w:val="superscript"/>
              </w:rPr>
              <w:t>th</w:t>
            </w:r>
            <w:r>
              <w:rPr>
                <w:rFonts w:ascii="Arial" w:hAnsi="Arial" w:cs="Arial"/>
                <w:sz w:val="20"/>
                <w:szCs w:val="20"/>
              </w:rPr>
              <w:t>)</w:t>
            </w:r>
          </w:p>
          <w:p w14:paraId="29855E74" w14:textId="77777777" w:rsidR="00B17961" w:rsidRDefault="00B17961" w:rsidP="00B17961">
            <w:pPr>
              <w:spacing w:before="60" w:after="60"/>
              <w:jc w:val="center"/>
              <w:rPr>
                <w:rFonts w:ascii="Arial" w:hAnsi="Arial" w:cs="Arial"/>
                <w:sz w:val="20"/>
                <w:szCs w:val="20"/>
              </w:rPr>
            </w:pPr>
          </w:p>
          <w:p w14:paraId="7C854774" w14:textId="77777777" w:rsidR="00B17961" w:rsidRDefault="00B17961" w:rsidP="00B17961">
            <w:pPr>
              <w:spacing w:before="60" w:after="60"/>
              <w:jc w:val="center"/>
              <w:rPr>
                <w:rFonts w:ascii="Arial" w:hAnsi="Arial" w:cs="Arial"/>
                <w:sz w:val="20"/>
                <w:szCs w:val="20"/>
              </w:rPr>
            </w:pPr>
          </w:p>
          <w:p w14:paraId="201319A4" w14:textId="77777777" w:rsidR="00B17961" w:rsidRDefault="00B17961" w:rsidP="00B17961">
            <w:pPr>
              <w:spacing w:before="60" w:after="60"/>
              <w:jc w:val="center"/>
              <w:rPr>
                <w:rFonts w:ascii="Arial" w:hAnsi="Arial" w:cs="Arial"/>
                <w:sz w:val="20"/>
                <w:szCs w:val="20"/>
              </w:rPr>
            </w:pPr>
            <w:r>
              <w:rPr>
                <w:rFonts w:ascii="Arial" w:hAnsi="Arial" w:cs="Arial"/>
                <w:sz w:val="20"/>
                <w:szCs w:val="20"/>
              </w:rPr>
              <w:t>19.5 (11</w:t>
            </w:r>
            <w:r w:rsidRPr="00325EC3">
              <w:rPr>
                <w:rFonts w:ascii="Arial" w:hAnsi="Arial" w:cs="Arial"/>
                <w:sz w:val="20"/>
                <w:szCs w:val="20"/>
                <w:vertAlign w:val="superscript"/>
              </w:rPr>
              <w:t>th</w:t>
            </w:r>
            <w:r>
              <w:rPr>
                <w:rFonts w:ascii="Arial" w:hAnsi="Arial" w:cs="Arial"/>
                <w:sz w:val="20"/>
                <w:szCs w:val="20"/>
              </w:rPr>
              <w:t>)</w:t>
            </w:r>
          </w:p>
          <w:p w14:paraId="17CB5CA8" w14:textId="77777777" w:rsidR="00B17961" w:rsidRDefault="00B17961" w:rsidP="00B17961">
            <w:pPr>
              <w:spacing w:before="60" w:after="60"/>
              <w:jc w:val="center"/>
              <w:rPr>
                <w:rFonts w:ascii="Arial" w:hAnsi="Arial" w:cs="Arial"/>
                <w:sz w:val="20"/>
                <w:szCs w:val="20"/>
              </w:rPr>
            </w:pPr>
          </w:p>
          <w:p w14:paraId="6FAE55B8" w14:textId="77777777" w:rsidR="00B17961" w:rsidRPr="00C004AF" w:rsidRDefault="00B17961" w:rsidP="00B17961">
            <w:pPr>
              <w:spacing w:before="60" w:after="60"/>
              <w:jc w:val="center"/>
              <w:rPr>
                <w:rFonts w:ascii="Arial" w:hAnsi="Arial" w:cs="Arial"/>
                <w:sz w:val="20"/>
                <w:szCs w:val="20"/>
              </w:rPr>
            </w:pPr>
            <w:r w:rsidRPr="00325EC3">
              <w:rPr>
                <w:rFonts w:ascii="Arial" w:hAnsi="Arial" w:cs="Arial"/>
                <w:sz w:val="20"/>
                <w:szCs w:val="20"/>
              </w:rPr>
              <w:t>-0.67</w:t>
            </w:r>
            <w:r>
              <w:rPr>
                <w:rFonts w:ascii="Arial" w:hAnsi="Arial" w:cs="Arial"/>
                <w:sz w:val="20"/>
                <w:szCs w:val="20"/>
              </w:rPr>
              <w:t xml:space="preserve"> (11</w:t>
            </w:r>
            <w:r w:rsidRPr="00325EC3">
              <w:rPr>
                <w:rFonts w:ascii="Arial" w:hAnsi="Arial" w:cs="Arial"/>
                <w:sz w:val="20"/>
                <w:szCs w:val="20"/>
                <w:vertAlign w:val="superscript"/>
              </w:rPr>
              <w:t>th</w:t>
            </w:r>
            <w:r>
              <w:rPr>
                <w:rFonts w:ascii="Arial" w:hAnsi="Arial" w:cs="Arial"/>
                <w:sz w:val="20"/>
                <w:szCs w:val="20"/>
                <w:vertAlign w:val="superscript"/>
              </w:rPr>
              <w:t>)</w:t>
            </w:r>
            <w:r>
              <w:rPr>
                <w:rFonts w:ascii="Arial" w:hAnsi="Arial" w:cs="Arial"/>
                <w:sz w:val="20"/>
                <w:szCs w:val="20"/>
              </w:rPr>
              <w:t xml:space="preserve"> </w:t>
            </w:r>
          </w:p>
        </w:tc>
      </w:tr>
      <w:tr w:rsidR="00B17961" w:rsidRPr="00C004AF" w14:paraId="7C511D2C" w14:textId="77777777" w:rsidTr="00B17961">
        <w:trPr>
          <w:cantSplit/>
        </w:trPr>
        <w:tc>
          <w:tcPr>
            <w:tcW w:w="675" w:type="dxa"/>
          </w:tcPr>
          <w:p w14:paraId="4EFD7992" w14:textId="77777777" w:rsidR="00B17961" w:rsidRPr="00C004AF" w:rsidRDefault="00B17961" w:rsidP="00B17961">
            <w:pPr>
              <w:spacing w:before="60" w:after="60"/>
              <w:rPr>
                <w:rFonts w:ascii="Arial" w:hAnsi="Arial" w:cs="Arial"/>
                <w:sz w:val="20"/>
                <w:szCs w:val="20"/>
              </w:rPr>
            </w:pPr>
            <w:r>
              <w:rPr>
                <w:rFonts w:ascii="Arial" w:hAnsi="Arial" w:cs="Arial"/>
                <w:sz w:val="20"/>
                <w:szCs w:val="20"/>
              </w:rPr>
              <w:t>15</w:t>
            </w:r>
          </w:p>
        </w:tc>
        <w:tc>
          <w:tcPr>
            <w:tcW w:w="3289" w:type="dxa"/>
          </w:tcPr>
          <w:p w14:paraId="6D2DB2F3" w14:textId="77777777" w:rsidR="00B17961" w:rsidRPr="00C004AF" w:rsidRDefault="00B17961" w:rsidP="00B17961">
            <w:pPr>
              <w:spacing w:before="60" w:after="60"/>
              <w:rPr>
                <w:rFonts w:ascii="Arial" w:hAnsi="Arial" w:cs="Arial"/>
                <w:sz w:val="20"/>
                <w:szCs w:val="20"/>
                <w:u w:val="single"/>
              </w:rPr>
            </w:pPr>
            <w:r w:rsidRPr="00C004AF">
              <w:rPr>
                <w:rFonts w:ascii="Arial" w:hAnsi="Arial" w:cs="Arial"/>
                <w:sz w:val="20"/>
                <w:szCs w:val="20"/>
                <w:u w:val="single"/>
              </w:rPr>
              <w:t>NEETS</w:t>
            </w:r>
            <w:r>
              <w:rPr>
                <w:rFonts w:ascii="Arial" w:hAnsi="Arial" w:cs="Arial"/>
                <w:sz w:val="20"/>
                <w:szCs w:val="20"/>
                <w:u w:val="single"/>
              </w:rPr>
              <w:t>:</w:t>
            </w:r>
          </w:p>
          <w:p w14:paraId="0D36F71C" w14:textId="77777777" w:rsidR="00B17961" w:rsidRPr="00C004AF" w:rsidRDefault="00B17961" w:rsidP="00B17961">
            <w:pPr>
              <w:spacing w:before="60" w:after="60"/>
              <w:rPr>
                <w:rFonts w:ascii="Arial" w:hAnsi="Arial" w:cs="Arial"/>
                <w:sz w:val="20"/>
                <w:szCs w:val="20"/>
              </w:rPr>
            </w:pPr>
            <w:r w:rsidRPr="00C004AF">
              <w:rPr>
                <w:rFonts w:ascii="Arial" w:hAnsi="Arial" w:cs="Arial"/>
                <w:sz w:val="20"/>
                <w:szCs w:val="20"/>
              </w:rPr>
              <w:t>a</w:t>
            </w:r>
            <w:r>
              <w:rPr>
                <w:rFonts w:ascii="Arial" w:hAnsi="Arial" w:cs="Arial"/>
                <w:sz w:val="20"/>
                <w:szCs w:val="20"/>
              </w:rPr>
              <w:t xml:space="preserve"> </w:t>
            </w:r>
            <w:r w:rsidRPr="00C004AF">
              <w:rPr>
                <w:rFonts w:ascii="Arial" w:hAnsi="Arial" w:cs="Arial"/>
                <w:sz w:val="20"/>
                <w:szCs w:val="20"/>
              </w:rPr>
              <w:t xml:space="preserve"> </w:t>
            </w:r>
            <w:r>
              <w:rPr>
                <w:rFonts w:ascii="Arial" w:hAnsi="Arial" w:cs="Arial"/>
                <w:sz w:val="20"/>
                <w:szCs w:val="20"/>
              </w:rPr>
              <w:t xml:space="preserve"> % </w:t>
            </w:r>
            <w:r w:rsidRPr="00C004AF">
              <w:rPr>
                <w:rFonts w:ascii="Arial" w:hAnsi="Arial" w:cs="Arial"/>
                <w:sz w:val="20"/>
                <w:szCs w:val="20"/>
              </w:rPr>
              <w:t xml:space="preserve">not in education, employment or training (16 to </w:t>
            </w:r>
            <w:proofErr w:type="gramStart"/>
            <w:r w:rsidRPr="00C004AF">
              <w:rPr>
                <w:rFonts w:ascii="Arial" w:hAnsi="Arial" w:cs="Arial"/>
                <w:sz w:val="20"/>
                <w:szCs w:val="20"/>
              </w:rPr>
              <w:t>18 year</w:t>
            </w:r>
            <w:proofErr w:type="gramEnd"/>
            <w:r w:rsidRPr="00C004AF">
              <w:rPr>
                <w:rFonts w:ascii="Arial" w:hAnsi="Arial" w:cs="Arial"/>
                <w:sz w:val="20"/>
                <w:szCs w:val="20"/>
              </w:rPr>
              <w:t xml:space="preserve"> olds) </w:t>
            </w:r>
          </w:p>
          <w:p w14:paraId="10B2B721" w14:textId="77777777" w:rsidR="00B17961" w:rsidRPr="00C004AF" w:rsidRDefault="00B17961" w:rsidP="00B17961">
            <w:pPr>
              <w:spacing w:before="60" w:after="60"/>
              <w:rPr>
                <w:rFonts w:ascii="Arial" w:hAnsi="Arial" w:cs="Arial"/>
                <w:sz w:val="20"/>
                <w:szCs w:val="20"/>
              </w:rPr>
            </w:pPr>
            <w:proofErr w:type="gramStart"/>
            <w:r>
              <w:rPr>
                <w:rFonts w:ascii="Arial" w:hAnsi="Arial" w:cs="Arial"/>
                <w:sz w:val="20"/>
                <w:szCs w:val="20"/>
              </w:rPr>
              <w:t xml:space="preserve">b  </w:t>
            </w:r>
            <w:r w:rsidRPr="00C004AF">
              <w:rPr>
                <w:rFonts w:ascii="Arial" w:hAnsi="Arial" w:cs="Arial"/>
                <w:sz w:val="20"/>
                <w:szCs w:val="20"/>
              </w:rPr>
              <w:t>%</w:t>
            </w:r>
            <w:proofErr w:type="gramEnd"/>
            <w:r w:rsidRPr="00C004AF">
              <w:rPr>
                <w:rFonts w:ascii="Arial" w:hAnsi="Arial" w:cs="Arial"/>
                <w:sz w:val="20"/>
                <w:szCs w:val="20"/>
              </w:rPr>
              <w:t xml:space="preserve"> combined percentage of 16 to 18 year olds who are NEET and those whose current activity is not known to the LA</w:t>
            </w:r>
          </w:p>
        </w:tc>
        <w:tc>
          <w:tcPr>
            <w:tcW w:w="1843" w:type="dxa"/>
          </w:tcPr>
          <w:p w14:paraId="33282B2E" w14:textId="77777777" w:rsidR="00B17961" w:rsidRDefault="00B17961" w:rsidP="00B17961">
            <w:pPr>
              <w:spacing w:before="60" w:after="60"/>
              <w:jc w:val="center"/>
              <w:rPr>
                <w:rFonts w:ascii="Arial" w:hAnsi="Arial" w:cs="Arial"/>
                <w:sz w:val="20"/>
                <w:szCs w:val="20"/>
              </w:rPr>
            </w:pPr>
          </w:p>
          <w:p w14:paraId="270D5469" w14:textId="77777777" w:rsidR="00B17961" w:rsidRDefault="00B17961" w:rsidP="00B17961">
            <w:pPr>
              <w:spacing w:before="60" w:after="60"/>
              <w:jc w:val="center"/>
              <w:rPr>
                <w:rFonts w:ascii="Arial" w:hAnsi="Arial" w:cs="Arial"/>
                <w:sz w:val="20"/>
                <w:szCs w:val="20"/>
              </w:rPr>
            </w:pPr>
          </w:p>
          <w:p w14:paraId="456C0BAC" w14:textId="77777777" w:rsidR="00B17961" w:rsidRDefault="00B17961" w:rsidP="00B17961">
            <w:pPr>
              <w:spacing w:before="60" w:after="60"/>
              <w:jc w:val="center"/>
              <w:rPr>
                <w:rFonts w:ascii="Arial" w:hAnsi="Arial" w:cs="Arial"/>
                <w:sz w:val="20"/>
                <w:szCs w:val="20"/>
              </w:rPr>
            </w:pPr>
            <w:r w:rsidRPr="00EE0576">
              <w:rPr>
                <w:rFonts w:ascii="Arial" w:hAnsi="Arial" w:cs="Arial"/>
                <w:sz w:val="20"/>
                <w:szCs w:val="20"/>
              </w:rPr>
              <w:t>2% (2015 data)</w:t>
            </w:r>
          </w:p>
          <w:p w14:paraId="5D08A2EB" w14:textId="77777777" w:rsidR="00B17961" w:rsidRDefault="00B17961" w:rsidP="00B17961">
            <w:pPr>
              <w:spacing w:before="60" w:after="60"/>
              <w:jc w:val="center"/>
              <w:rPr>
                <w:rFonts w:ascii="Arial" w:hAnsi="Arial" w:cs="Arial"/>
                <w:sz w:val="20"/>
                <w:szCs w:val="20"/>
              </w:rPr>
            </w:pPr>
          </w:p>
          <w:p w14:paraId="2F5EFE9E" w14:textId="77777777" w:rsidR="00B17961" w:rsidRPr="00C004AF" w:rsidRDefault="00B17961" w:rsidP="00B17961">
            <w:pPr>
              <w:spacing w:before="60" w:after="60"/>
              <w:jc w:val="center"/>
              <w:rPr>
                <w:rFonts w:ascii="Arial" w:hAnsi="Arial" w:cs="Arial"/>
                <w:sz w:val="20"/>
                <w:szCs w:val="20"/>
              </w:rPr>
            </w:pPr>
            <w:r w:rsidRPr="00EE0576">
              <w:rPr>
                <w:rFonts w:ascii="Arial" w:hAnsi="Arial" w:cs="Arial"/>
                <w:sz w:val="20"/>
                <w:szCs w:val="20"/>
              </w:rPr>
              <w:t>7.1% (2015 data</w:t>
            </w:r>
          </w:p>
        </w:tc>
        <w:tc>
          <w:tcPr>
            <w:tcW w:w="1559" w:type="dxa"/>
          </w:tcPr>
          <w:p w14:paraId="6A5AC6CB" w14:textId="77777777" w:rsidR="00B17961" w:rsidRDefault="00B17961" w:rsidP="00B17961">
            <w:pPr>
              <w:spacing w:before="60" w:after="60"/>
              <w:jc w:val="center"/>
              <w:rPr>
                <w:rFonts w:ascii="Arial" w:hAnsi="Arial" w:cs="Arial"/>
                <w:sz w:val="20"/>
                <w:szCs w:val="20"/>
              </w:rPr>
            </w:pPr>
          </w:p>
          <w:p w14:paraId="378939F4" w14:textId="77777777" w:rsidR="00B17961" w:rsidRDefault="00B17961" w:rsidP="00B17961">
            <w:pPr>
              <w:spacing w:before="60" w:after="60"/>
              <w:jc w:val="center"/>
              <w:rPr>
                <w:rFonts w:ascii="Arial" w:hAnsi="Arial" w:cs="Arial"/>
                <w:sz w:val="20"/>
                <w:szCs w:val="20"/>
              </w:rPr>
            </w:pPr>
          </w:p>
          <w:p w14:paraId="2681282C" w14:textId="77777777" w:rsidR="00B17961" w:rsidRPr="00C004AF" w:rsidRDefault="00B17961" w:rsidP="00B17961">
            <w:pPr>
              <w:spacing w:before="60" w:after="60"/>
              <w:jc w:val="center"/>
              <w:rPr>
                <w:rFonts w:ascii="Arial" w:hAnsi="Arial" w:cs="Arial"/>
                <w:sz w:val="20"/>
                <w:szCs w:val="20"/>
              </w:rPr>
            </w:pPr>
            <w:r>
              <w:rPr>
                <w:rFonts w:ascii="Arial" w:hAnsi="Arial" w:cs="Arial"/>
                <w:sz w:val="20"/>
                <w:szCs w:val="20"/>
              </w:rPr>
              <w:t xml:space="preserve">N/A </w:t>
            </w:r>
          </w:p>
        </w:tc>
        <w:tc>
          <w:tcPr>
            <w:tcW w:w="1701" w:type="dxa"/>
            <w:shd w:val="clear" w:color="auto" w:fill="6DF828"/>
          </w:tcPr>
          <w:p w14:paraId="43EEF45B" w14:textId="77777777" w:rsidR="00B17961" w:rsidRDefault="00B17961" w:rsidP="00B17961">
            <w:pPr>
              <w:spacing w:before="60" w:after="60"/>
              <w:jc w:val="center"/>
              <w:rPr>
                <w:rFonts w:ascii="Arial" w:hAnsi="Arial" w:cs="Arial"/>
                <w:sz w:val="20"/>
                <w:szCs w:val="20"/>
              </w:rPr>
            </w:pPr>
          </w:p>
          <w:p w14:paraId="41210EC4" w14:textId="77777777" w:rsidR="00B17961" w:rsidRDefault="00B17961" w:rsidP="00B17961">
            <w:pPr>
              <w:spacing w:before="60" w:after="60"/>
              <w:jc w:val="center"/>
              <w:rPr>
                <w:rFonts w:ascii="Arial" w:hAnsi="Arial" w:cs="Arial"/>
                <w:sz w:val="20"/>
                <w:szCs w:val="20"/>
              </w:rPr>
            </w:pPr>
          </w:p>
          <w:p w14:paraId="2C404886" w14:textId="77777777" w:rsidR="00B17961" w:rsidRDefault="00B17961" w:rsidP="00B17961">
            <w:pPr>
              <w:spacing w:before="60" w:after="60"/>
              <w:rPr>
                <w:rFonts w:ascii="Arial" w:hAnsi="Arial" w:cs="Arial"/>
                <w:sz w:val="20"/>
                <w:szCs w:val="20"/>
              </w:rPr>
            </w:pPr>
            <w:r>
              <w:rPr>
                <w:rFonts w:ascii="Arial" w:hAnsi="Arial" w:cs="Arial"/>
                <w:sz w:val="20"/>
                <w:szCs w:val="20"/>
              </w:rPr>
              <w:t>1.8%</w:t>
            </w:r>
          </w:p>
          <w:p w14:paraId="392B15EC" w14:textId="77777777" w:rsidR="00B17961" w:rsidRDefault="00B17961" w:rsidP="00B17961">
            <w:pPr>
              <w:spacing w:before="60" w:after="60"/>
              <w:rPr>
                <w:rFonts w:ascii="Arial" w:hAnsi="Arial" w:cs="Arial"/>
                <w:sz w:val="20"/>
                <w:szCs w:val="20"/>
              </w:rPr>
            </w:pPr>
            <w:r>
              <w:rPr>
                <w:rFonts w:ascii="Arial" w:hAnsi="Arial" w:cs="Arial"/>
                <w:sz w:val="20"/>
                <w:szCs w:val="20"/>
              </w:rPr>
              <w:t>(Jan to March 2018)</w:t>
            </w:r>
          </w:p>
          <w:p w14:paraId="44F4BF06" w14:textId="77777777" w:rsidR="00B17961" w:rsidRPr="004029C0" w:rsidRDefault="00B17961" w:rsidP="00B17961">
            <w:pPr>
              <w:spacing w:before="60" w:after="60"/>
              <w:rPr>
                <w:rFonts w:ascii="Arial" w:hAnsi="Arial" w:cs="Arial"/>
                <w:sz w:val="20"/>
                <w:szCs w:val="20"/>
              </w:rPr>
            </w:pPr>
            <w:r>
              <w:rPr>
                <w:rFonts w:ascii="Arial" w:hAnsi="Arial" w:cs="Arial"/>
                <w:sz w:val="20"/>
                <w:szCs w:val="20"/>
              </w:rPr>
              <w:t>3.0% (Jan to March 2018)</w:t>
            </w:r>
          </w:p>
        </w:tc>
      </w:tr>
    </w:tbl>
    <w:p w14:paraId="4ED91293" w14:textId="77777777" w:rsidR="00B17961" w:rsidRDefault="00B17961" w:rsidP="00B17961">
      <w:pPr>
        <w:spacing w:after="120" w:line="240" w:lineRule="auto"/>
        <w:rPr>
          <w:rFonts w:ascii="Arial" w:hAnsi="Arial" w:cs="Arial"/>
        </w:rPr>
      </w:pPr>
    </w:p>
    <w:p w14:paraId="78AA7953" w14:textId="77777777" w:rsidR="00B17961" w:rsidRDefault="00B17961" w:rsidP="00B17961">
      <w:pPr>
        <w:rPr>
          <w:rFonts w:ascii="Arial" w:hAnsi="Arial" w:cs="Arial"/>
          <w:b/>
        </w:rPr>
      </w:pPr>
      <w:r>
        <w:rPr>
          <w:rFonts w:ascii="Arial" w:hAnsi="Arial" w:cs="Arial"/>
          <w:b/>
        </w:rPr>
        <w:br w:type="page"/>
      </w:r>
    </w:p>
    <w:p w14:paraId="3EFD62E2" w14:textId="77777777" w:rsidR="00B17961" w:rsidRDefault="00B17961" w:rsidP="00B17961">
      <w:pPr>
        <w:jc w:val="right"/>
        <w:rPr>
          <w:rFonts w:ascii="Arial" w:hAnsi="Arial" w:cs="Arial"/>
          <w:b/>
        </w:rPr>
      </w:pPr>
      <w:r>
        <w:rPr>
          <w:rFonts w:ascii="Arial" w:hAnsi="Arial" w:cs="Arial"/>
          <w:b/>
        </w:rPr>
        <w:t>Appendix 1b</w:t>
      </w:r>
    </w:p>
    <w:p w14:paraId="19C74A27" w14:textId="77777777" w:rsidR="00B17961" w:rsidRDefault="00B17961" w:rsidP="00B17961">
      <w:pPr>
        <w:spacing w:after="120" w:line="240" w:lineRule="auto"/>
        <w:jc w:val="center"/>
        <w:rPr>
          <w:rFonts w:ascii="Arial" w:hAnsi="Arial" w:cs="Arial"/>
          <w:b/>
        </w:rPr>
      </w:pPr>
      <w:r>
        <w:rPr>
          <w:rFonts w:ascii="Arial" w:hAnsi="Arial" w:cs="Arial"/>
          <w:b/>
        </w:rPr>
        <w:t xml:space="preserve">Education Strategy – Key </w:t>
      </w:r>
      <w:r w:rsidRPr="00912078">
        <w:rPr>
          <w:rFonts w:ascii="Arial" w:hAnsi="Arial" w:cs="Arial"/>
          <w:b/>
        </w:rPr>
        <w:t xml:space="preserve">Performance </w:t>
      </w:r>
      <w:r>
        <w:rPr>
          <w:rFonts w:ascii="Arial" w:hAnsi="Arial" w:cs="Arial"/>
          <w:b/>
        </w:rPr>
        <w:t>I</w:t>
      </w:r>
      <w:r w:rsidRPr="00912078">
        <w:rPr>
          <w:rFonts w:ascii="Arial" w:hAnsi="Arial" w:cs="Arial"/>
          <w:b/>
        </w:rPr>
        <w:t xml:space="preserve">ndicators and </w:t>
      </w:r>
      <w:r>
        <w:rPr>
          <w:rFonts w:ascii="Arial" w:hAnsi="Arial" w:cs="Arial"/>
          <w:b/>
        </w:rPr>
        <w:t>T</w:t>
      </w:r>
      <w:r w:rsidRPr="00912078">
        <w:rPr>
          <w:rFonts w:ascii="Arial" w:hAnsi="Arial" w:cs="Arial"/>
          <w:b/>
        </w:rPr>
        <w:t>argets</w:t>
      </w:r>
      <w:r>
        <w:rPr>
          <w:rFonts w:ascii="Arial" w:hAnsi="Arial" w:cs="Arial"/>
          <w:b/>
        </w:rPr>
        <w:t xml:space="preserve"> (from 2018-19)</w:t>
      </w:r>
    </w:p>
    <w:tbl>
      <w:tblPr>
        <w:tblStyle w:val="TableGrid"/>
        <w:tblW w:w="9209" w:type="dxa"/>
        <w:tblLayout w:type="fixed"/>
        <w:tblLook w:val="04A0" w:firstRow="1" w:lastRow="0" w:firstColumn="1" w:lastColumn="0" w:noHBand="0" w:noVBand="1"/>
      </w:tblPr>
      <w:tblGrid>
        <w:gridCol w:w="675"/>
        <w:gridCol w:w="3289"/>
        <w:gridCol w:w="1843"/>
        <w:gridCol w:w="1701"/>
        <w:gridCol w:w="1701"/>
      </w:tblGrid>
      <w:tr w:rsidR="00B17961" w:rsidRPr="00C004AF" w14:paraId="74211DCC" w14:textId="77777777" w:rsidTr="00B17961">
        <w:trPr>
          <w:cantSplit/>
          <w:tblHeader/>
        </w:trPr>
        <w:tc>
          <w:tcPr>
            <w:tcW w:w="675" w:type="dxa"/>
            <w:shd w:val="clear" w:color="auto" w:fill="E5DFEC" w:themeFill="accent4" w:themeFillTint="33"/>
            <w:vAlign w:val="center"/>
          </w:tcPr>
          <w:p w14:paraId="0D7469AD" w14:textId="77777777" w:rsidR="00B17961" w:rsidRPr="00C004AF" w:rsidRDefault="00B17961" w:rsidP="00B17961">
            <w:pPr>
              <w:spacing w:before="60" w:after="60"/>
              <w:jc w:val="center"/>
              <w:rPr>
                <w:rFonts w:ascii="Arial" w:hAnsi="Arial" w:cs="Arial"/>
                <w:b/>
                <w:sz w:val="20"/>
                <w:szCs w:val="20"/>
              </w:rPr>
            </w:pPr>
            <w:r w:rsidRPr="00C004AF">
              <w:rPr>
                <w:rFonts w:ascii="Arial" w:hAnsi="Arial" w:cs="Arial"/>
                <w:b/>
                <w:sz w:val="20"/>
                <w:szCs w:val="20"/>
              </w:rPr>
              <w:t>No.</w:t>
            </w:r>
          </w:p>
        </w:tc>
        <w:tc>
          <w:tcPr>
            <w:tcW w:w="3289" w:type="dxa"/>
            <w:shd w:val="clear" w:color="auto" w:fill="E5DFEC" w:themeFill="accent4" w:themeFillTint="33"/>
            <w:vAlign w:val="center"/>
          </w:tcPr>
          <w:p w14:paraId="4606CB78" w14:textId="77777777" w:rsidR="00B17961" w:rsidRPr="00C004AF" w:rsidRDefault="00B17961" w:rsidP="00B17961">
            <w:pPr>
              <w:spacing w:before="60" w:after="60"/>
              <w:jc w:val="center"/>
              <w:rPr>
                <w:rFonts w:ascii="Arial" w:hAnsi="Arial" w:cs="Arial"/>
                <w:b/>
                <w:sz w:val="20"/>
                <w:szCs w:val="20"/>
              </w:rPr>
            </w:pPr>
            <w:r w:rsidRPr="00C004AF">
              <w:rPr>
                <w:rFonts w:ascii="Arial" w:hAnsi="Arial" w:cs="Arial"/>
                <w:b/>
                <w:sz w:val="20"/>
                <w:szCs w:val="20"/>
              </w:rPr>
              <w:t>Performance indicator</w:t>
            </w:r>
          </w:p>
        </w:tc>
        <w:tc>
          <w:tcPr>
            <w:tcW w:w="1843" w:type="dxa"/>
            <w:shd w:val="clear" w:color="auto" w:fill="E5DFEC" w:themeFill="accent4" w:themeFillTint="33"/>
            <w:vAlign w:val="center"/>
          </w:tcPr>
          <w:p w14:paraId="0DB88839" w14:textId="77777777" w:rsidR="00B17961" w:rsidRPr="00C004AF" w:rsidRDefault="00B17961" w:rsidP="00B17961">
            <w:pPr>
              <w:spacing w:before="60" w:after="60"/>
              <w:jc w:val="center"/>
              <w:rPr>
                <w:rFonts w:ascii="Arial" w:hAnsi="Arial" w:cs="Arial"/>
                <w:b/>
                <w:sz w:val="20"/>
                <w:szCs w:val="20"/>
              </w:rPr>
            </w:pPr>
            <w:r>
              <w:rPr>
                <w:rFonts w:ascii="Arial" w:hAnsi="Arial" w:cs="Arial"/>
                <w:b/>
                <w:sz w:val="20"/>
                <w:szCs w:val="20"/>
              </w:rPr>
              <w:t xml:space="preserve">Actuals for </w:t>
            </w:r>
            <w:r w:rsidRPr="00C004AF">
              <w:rPr>
                <w:rFonts w:ascii="Arial" w:hAnsi="Arial" w:cs="Arial"/>
                <w:b/>
                <w:sz w:val="20"/>
                <w:szCs w:val="20"/>
              </w:rPr>
              <w:t>201</w:t>
            </w:r>
            <w:r>
              <w:rPr>
                <w:rFonts w:ascii="Arial" w:hAnsi="Arial" w:cs="Arial"/>
                <w:b/>
                <w:sz w:val="20"/>
                <w:szCs w:val="20"/>
              </w:rPr>
              <w:t>7</w:t>
            </w:r>
            <w:r w:rsidRPr="00C004AF">
              <w:rPr>
                <w:rFonts w:ascii="Arial" w:hAnsi="Arial" w:cs="Arial"/>
                <w:b/>
                <w:sz w:val="20"/>
                <w:szCs w:val="20"/>
              </w:rPr>
              <w:t>/1</w:t>
            </w:r>
            <w:r>
              <w:rPr>
                <w:rFonts w:ascii="Arial" w:hAnsi="Arial" w:cs="Arial"/>
                <w:b/>
                <w:sz w:val="20"/>
                <w:szCs w:val="20"/>
              </w:rPr>
              <w:t>8</w:t>
            </w:r>
            <w:r w:rsidRPr="00C004AF">
              <w:rPr>
                <w:rFonts w:ascii="Arial" w:hAnsi="Arial" w:cs="Arial"/>
                <w:b/>
                <w:sz w:val="20"/>
                <w:szCs w:val="20"/>
              </w:rPr>
              <w:t xml:space="preserve"> (summer 201</w:t>
            </w:r>
            <w:r>
              <w:rPr>
                <w:rFonts w:ascii="Arial" w:hAnsi="Arial" w:cs="Arial"/>
                <w:b/>
                <w:sz w:val="20"/>
                <w:szCs w:val="20"/>
              </w:rPr>
              <w:t>8</w:t>
            </w:r>
            <w:r w:rsidRPr="00C004AF">
              <w:rPr>
                <w:rFonts w:ascii="Arial" w:hAnsi="Arial" w:cs="Arial"/>
                <w:b/>
                <w:sz w:val="20"/>
                <w:szCs w:val="20"/>
              </w:rPr>
              <w:t xml:space="preserve"> for </w:t>
            </w:r>
            <w:r>
              <w:rPr>
                <w:rFonts w:ascii="Arial" w:hAnsi="Arial" w:cs="Arial"/>
                <w:b/>
                <w:sz w:val="20"/>
                <w:szCs w:val="20"/>
              </w:rPr>
              <w:t>tests</w:t>
            </w:r>
            <w:r w:rsidRPr="00C004AF">
              <w:rPr>
                <w:rFonts w:ascii="Arial" w:hAnsi="Arial" w:cs="Arial"/>
                <w:b/>
                <w:sz w:val="20"/>
                <w:szCs w:val="20"/>
              </w:rPr>
              <w:t>)</w:t>
            </w:r>
          </w:p>
        </w:tc>
        <w:tc>
          <w:tcPr>
            <w:tcW w:w="1701" w:type="dxa"/>
            <w:shd w:val="clear" w:color="auto" w:fill="E5DFEC" w:themeFill="accent4" w:themeFillTint="33"/>
            <w:vAlign w:val="center"/>
          </w:tcPr>
          <w:p w14:paraId="7B4EAD13" w14:textId="77777777" w:rsidR="00B17961" w:rsidRPr="00C004AF" w:rsidRDefault="00B17961" w:rsidP="00B17961">
            <w:pPr>
              <w:tabs>
                <w:tab w:val="left" w:pos="192"/>
              </w:tabs>
              <w:spacing w:before="60" w:after="60"/>
              <w:jc w:val="center"/>
              <w:rPr>
                <w:rFonts w:ascii="Arial" w:hAnsi="Arial" w:cs="Arial"/>
                <w:b/>
                <w:sz w:val="20"/>
                <w:szCs w:val="20"/>
              </w:rPr>
            </w:pPr>
            <w:r>
              <w:rPr>
                <w:rFonts w:ascii="Arial" w:hAnsi="Arial" w:cs="Arial"/>
                <w:b/>
                <w:sz w:val="20"/>
                <w:szCs w:val="20"/>
              </w:rPr>
              <w:t>Targets for 2018</w:t>
            </w:r>
            <w:r w:rsidRPr="00C004AF">
              <w:rPr>
                <w:rFonts w:ascii="Arial" w:hAnsi="Arial" w:cs="Arial"/>
                <w:b/>
                <w:sz w:val="20"/>
                <w:szCs w:val="20"/>
              </w:rPr>
              <w:t>/1</w:t>
            </w:r>
            <w:r>
              <w:rPr>
                <w:rFonts w:ascii="Arial" w:hAnsi="Arial" w:cs="Arial"/>
                <w:b/>
                <w:sz w:val="20"/>
                <w:szCs w:val="20"/>
              </w:rPr>
              <w:t>9</w:t>
            </w:r>
            <w:r w:rsidRPr="00C004AF">
              <w:rPr>
                <w:rFonts w:ascii="Arial" w:hAnsi="Arial" w:cs="Arial"/>
                <w:b/>
                <w:sz w:val="20"/>
                <w:szCs w:val="20"/>
              </w:rPr>
              <w:t xml:space="preserve"> (summer 201</w:t>
            </w:r>
            <w:r>
              <w:rPr>
                <w:rFonts w:ascii="Arial" w:hAnsi="Arial" w:cs="Arial"/>
                <w:b/>
                <w:sz w:val="20"/>
                <w:szCs w:val="20"/>
              </w:rPr>
              <w:t>9</w:t>
            </w:r>
            <w:r w:rsidRPr="00C004AF">
              <w:rPr>
                <w:rFonts w:ascii="Arial" w:hAnsi="Arial" w:cs="Arial"/>
                <w:b/>
                <w:sz w:val="20"/>
                <w:szCs w:val="20"/>
              </w:rPr>
              <w:t>)</w:t>
            </w:r>
          </w:p>
        </w:tc>
        <w:tc>
          <w:tcPr>
            <w:tcW w:w="1701" w:type="dxa"/>
            <w:shd w:val="clear" w:color="auto" w:fill="E5DFEC" w:themeFill="accent4" w:themeFillTint="33"/>
            <w:vAlign w:val="center"/>
          </w:tcPr>
          <w:p w14:paraId="14529EDA" w14:textId="77777777" w:rsidR="00B17961" w:rsidRDefault="00B17961" w:rsidP="00B17961">
            <w:pPr>
              <w:spacing w:before="60" w:after="60"/>
              <w:jc w:val="center"/>
              <w:rPr>
                <w:rFonts w:ascii="Arial" w:hAnsi="Arial" w:cs="Arial"/>
                <w:b/>
                <w:sz w:val="20"/>
                <w:szCs w:val="20"/>
              </w:rPr>
            </w:pPr>
          </w:p>
          <w:p w14:paraId="40A4C8DE" w14:textId="77777777" w:rsidR="00B17961" w:rsidRDefault="00B17961" w:rsidP="00B17961">
            <w:pPr>
              <w:spacing w:before="60" w:after="60"/>
              <w:jc w:val="center"/>
              <w:rPr>
                <w:rFonts w:ascii="Arial" w:hAnsi="Arial" w:cs="Arial"/>
                <w:b/>
                <w:sz w:val="20"/>
                <w:szCs w:val="20"/>
              </w:rPr>
            </w:pPr>
            <w:r>
              <w:rPr>
                <w:rFonts w:ascii="Arial" w:hAnsi="Arial" w:cs="Arial"/>
                <w:b/>
                <w:sz w:val="20"/>
                <w:szCs w:val="20"/>
              </w:rPr>
              <w:t>Targets for subsequent years</w:t>
            </w:r>
          </w:p>
          <w:p w14:paraId="0CBAC4EB" w14:textId="77777777" w:rsidR="00B17961" w:rsidRDefault="00B17961" w:rsidP="00B17961">
            <w:pPr>
              <w:spacing w:before="60" w:after="60"/>
              <w:jc w:val="center"/>
              <w:rPr>
                <w:rFonts w:ascii="Arial" w:hAnsi="Arial" w:cs="Arial"/>
                <w:b/>
                <w:sz w:val="20"/>
                <w:szCs w:val="20"/>
              </w:rPr>
            </w:pPr>
          </w:p>
        </w:tc>
      </w:tr>
      <w:tr w:rsidR="00B17961" w:rsidRPr="00C004AF" w14:paraId="23B9D947" w14:textId="77777777" w:rsidTr="00B17961">
        <w:trPr>
          <w:cantSplit/>
        </w:trPr>
        <w:tc>
          <w:tcPr>
            <w:tcW w:w="675" w:type="dxa"/>
          </w:tcPr>
          <w:p w14:paraId="3580FE51"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1</w:t>
            </w:r>
          </w:p>
        </w:tc>
        <w:tc>
          <w:tcPr>
            <w:tcW w:w="3289" w:type="dxa"/>
          </w:tcPr>
          <w:p w14:paraId="30A92FC9"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Percentage of children who applied on-time for a Reception place made an offer on national offer day</w:t>
            </w:r>
          </w:p>
        </w:tc>
        <w:tc>
          <w:tcPr>
            <w:tcW w:w="1843" w:type="dxa"/>
          </w:tcPr>
          <w:p w14:paraId="659AFAFF"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100%</w:t>
            </w:r>
          </w:p>
        </w:tc>
        <w:tc>
          <w:tcPr>
            <w:tcW w:w="1701" w:type="dxa"/>
          </w:tcPr>
          <w:p w14:paraId="059C05B2"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99.9%</w:t>
            </w:r>
          </w:p>
        </w:tc>
        <w:tc>
          <w:tcPr>
            <w:tcW w:w="1701" w:type="dxa"/>
          </w:tcPr>
          <w:p w14:paraId="4D933735"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99.9%</w:t>
            </w:r>
          </w:p>
        </w:tc>
      </w:tr>
      <w:tr w:rsidR="00B17961" w:rsidRPr="00C004AF" w14:paraId="39230822" w14:textId="77777777" w:rsidTr="00B17961">
        <w:trPr>
          <w:cantSplit/>
        </w:trPr>
        <w:tc>
          <w:tcPr>
            <w:tcW w:w="675" w:type="dxa"/>
          </w:tcPr>
          <w:p w14:paraId="2BD13749"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2</w:t>
            </w:r>
          </w:p>
        </w:tc>
        <w:tc>
          <w:tcPr>
            <w:tcW w:w="3289" w:type="dxa"/>
          </w:tcPr>
          <w:p w14:paraId="1442B1BB"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Percentage of secondary children made an offer of a school place by statutory deadlines</w:t>
            </w:r>
          </w:p>
        </w:tc>
        <w:tc>
          <w:tcPr>
            <w:tcW w:w="1843" w:type="dxa"/>
          </w:tcPr>
          <w:p w14:paraId="5DA90DFA"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100%</w:t>
            </w:r>
          </w:p>
        </w:tc>
        <w:tc>
          <w:tcPr>
            <w:tcW w:w="1701" w:type="dxa"/>
          </w:tcPr>
          <w:p w14:paraId="398A0EC1"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99.9</w:t>
            </w:r>
            <w:r w:rsidRPr="005F71C5">
              <w:rPr>
                <w:rFonts w:ascii="Arial" w:hAnsi="Arial" w:cs="Arial"/>
                <w:sz w:val="20"/>
                <w:szCs w:val="20"/>
              </w:rPr>
              <w:t>%</w:t>
            </w:r>
          </w:p>
        </w:tc>
        <w:tc>
          <w:tcPr>
            <w:tcW w:w="1701" w:type="dxa"/>
          </w:tcPr>
          <w:p w14:paraId="0064E147"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99.9</w:t>
            </w:r>
            <w:r w:rsidRPr="005F71C5">
              <w:rPr>
                <w:rFonts w:ascii="Arial" w:hAnsi="Arial" w:cs="Arial"/>
                <w:sz w:val="20"/>
                <w:szCs w:val="20"/>
              </w:rPr>
              <w:t>%</w:t>
            </w:r>
          </w:p>
        </w:tc>
      </w:tr>
      <w:tr w:rsidR="00B17961" w:rsidRPr="00C004AF" w14:paraId="5958E2A2" w14:textId="77777777" w:rsidTr="00B17961">
        <w:trPr>
          <w:cantSplit/>
        </w:trPr>
        <w:tc>
          <w:tcPr>
            <w:tcW w:w="675" w:type="dxa"/>
          </w:tcPr>
          <w:p w14:paraId="0FFBC1B2"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3</w:t>
            </w:r>
          </w:p>
        </w:tc>
        <w:tc>
          <w:tcPr>
            <w:tcW w:w="3289" w:type="dxa"/>
          </w:tcPr>
          <w:p w14:paraId="48427426" w14:textId="3EE4F7C9"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Percentage of final EHC plans issued within 20 weeks</w:t>
            </w:r>
            <w:r w:rsidR="003C4A2E">
              <w:rPr>
                <w:rFonts w:ascii="Arial" w:hAnsi="Arial" w:cs="Arial"/>
                <w:sz w:val="20"/>
                <w:szCs w:val="20"/>
              </w:rPr>
              <w:t xml:space="preserve"> (excluding exceptions)</w:t>
            </w:r>
          </w:p>
          <w:p w14:paraId="386EAF45" w14:textId="77777777" w:rsidR="00B17961" w:rsidRPr="005F71C5" w:rsidRDefault="00B17961" w:rsidP="00B17961">
            <w:pPr>
              <w:spacing w:before="60" w:after="60"/>
              <w:rPr>
                <w:rFonts w:ascii="Arial" w:hAnsi="Arial" w:cs="Arial"/>
                <w:sz w:val="20"/>
                <w:szCs w:val="20"/>
              </w:rPr>
            </w:pPr>
          </w:p>
        </w:tc>
        <w:tc>
          <w:tcPr>
            <w:tcW w:w="1843" w:type="dxa"/>
          </w:tcPr>
          <w:p w14:paraId="0946BF43"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100%</w:t>
            </w:r>
          </w:p>
        </w:tc>
        <w:tc>
          <w:tcPr>
            <w:tcW w:w="1701" w:type="dxa"/>
          </w:tcPr>
          <w:p w14:paraId="7A2434F8"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90%</w:t>
            </w:r>
          </w:p>
        </w:tc>
        <w:tc>
          <w:tcPr>
            <w:tcW w:w="1701" w:type="dxa"/>
          </w:tcPr>
          <w:p w14:paraId="5A1100CF" w14:textId="149F0CC2"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9</w:t>
            </w:r>
            <w:r w:rsidR="003C4A2E">
              <w:rPr>
                <w:rFonts w:ascii="Arial" w:hAnsi="Arial" w:cs="Arial"/>
                <w:sz w:val="20"/>
                <w:szCs w:val="20"/>
              </w:rPr>
              <w:t>5</w:t>
            </w:r>
            <w:r w:rsidRPr="005F71C5">
              <w:rPr>
                <w:rFonts w:ascii="Arial" w:hAnsi="Arial" w:cs="Arial"/>
                <w:sz w:val="20"/>
                <w:szCs w:val="20"/>
              </w:rPr>
              <w:t>%</w:t>
            </w:r>
          </w:p>
        </w:tc>
      </w:tr>
      <w:tr w:rsidR="00B17961" w:rsidRPr="00C004AF" w14:paraId="06D1D783" w14:textId="77777777" w:rsidTr="00B17961">
        <w:trPr>
          <w:cantSplit/>
        </w:trPr>
        <w:tc>
          <w:tcPr>
            <w:tcW w:w="675" w:type="dxa"/>
          </w:tcPr>
          <w:p w14:paraId="41FB4E19"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4</w:t>
            </w:r>
          </w:p>
        </w:tc>
        <w:tc>
          <w:tcPr>
            <w:tcW w:w="3289" w:type="dxa"/>
          </w:tcPr>
          <w:p w14:paraId="60EFE87A"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Percentage of schools rated as ‘good’ or better</w:t>
            </w:r>
          </w:p>
        </w:tc>
        <w:tc>
          <w:tcPr>
            <w:tcW w:w="1843" w:type="dxa"/>
          </w:tcPr>
          <w:p w14:paraId="6EB67087"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93.7%</w:t>
            </w:r>
          </w:p>
        </w:tc>
        <w:tc>
          <w:tcPr>
            <w:tcW w:w="1701" w:type="dxa"/>
          </w:tcPr>
          <w:p w14:paraId="6807CD92"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92.6%</w:t>
            </w:r>
          </w:p>
        </w:tc>
        <w:tc>
          <w:tcPr>
            <w:tcW w:w="1701" w:type="dxa"/>
          </w:tcPr>
          <w:p w14:paraId="0E6654DA"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92.6%</w:t>
            </w:r>
          </w:p>
        </w:tc>
      </w:tr>
      <w:tr w:rsidR="00B17961" w:rsidRPr="00C004AF" w14:paraId="7D0C7DEA" w14:textId="77777777" w:rsidTr="00B17961">
        <w:trPr>
          <w:cantSplit/>
        </w:trPr>
        <w:tc>
          <w:tcPr>
            <w:tcW w:w="675" w:type="dxa"/>
          </w:tcPr>
          <w:p w14:paraId="3B45656D"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5</w:t>
            </w:r>
          </w:p>
        </w:tc>
        <w:tc>
          <w:tcPr>
            <w:tcW w:w="3289" w:type="dxa"/>
          </w:tcPr>
          <w:p w14:paraId="7050E036"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 xml:space="preserve">Percentage of pupils in Barnet schools attending a school rated as </w:t>
            </w:r>
            <w:r w:rsidRPr="005F71C5">
              <w:rPr>
                <w:rFonts w:ascii="Arial" w:hAnsi="Arial" w:cs="Arial"/>
                <w:sz w:val="20"/>
                <w:szCs w:val="20"/>
              </w:rPr>
              <w:t>‘good’ or better</w:t>
            </w:r>
          </w:p>
        </w:tc>
        <w:tc>
          <w:tcPr>
            <w:tcW w:w="1843" w:type="dxa"/>
          </w:tcPr>
          <w:p w14:paraId="69B65ABF"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93.7%</w:t>
            </w:r>
          </w:p>
        </w:tc>
        <w:tc>
          <w:tcPr>
            <w:tcW w:w="1701" w:type="dxa"/>
          </w:tcPr>
          <w:p w14:paraId="13C43738"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92.6%</w:t>
            </w:r>
          </w:p>
        </w:tc>
        <w:tc>
          <w:tcPr>
            <w:tcW w:w="1701" w:type="dxa"/>
          </w:tcPr>
          <w:p w14:paraId="69870D0C"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92.6%</w:t>
            </w:r>
          </w:p>
        </w:tc>
      </w:tr>
      <w:tr w:rsidR="00B17961" w:rsidRPr="00C004AF" w14:paraId="281C838E" w14:textId="77777777" w:rsidTr="00B17961">
        <w:trPr>
          <w:cantSplit/>
        </w:trPr>
        <w:tc>
          <w:tcPr>
            <w:tcW w:w="675" w:type="dxa"/>
          </w:tcPr>
          <w:p w14:paraId="6347842C"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6</w:t>
            </w:r>
          </w:p>
        </w:tc>
        <w:tc>
          <w:tcPr>
            <w:tcW w:w="3289" w:type="dxa"/>
          </w:tcPr>
          <w:p w14:paraId="49A68A17"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Average percentage attendance levels in Primary schools for the Autumn and Spring terms</w:t>
            </w:r>
          </w:p>
        </w:tc>
        <w:tc>
          <w:tcPr>
            <w:tcW w:w="1843" w:type="dxa"/>
          </w:tcPr>
          <w:p w14:paraId="150C62BC"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color w:val="000000"/>
                <w:sz w:val="20"/>
                <w:szCs w:val="20"/>
              </w:rPr>
              <w:t>96.1%</w:t>
            </w:r>
          </w:p>
        </w:tc>
        <w:tc>
          <w:tcPr>
            <w:tcW w:w="1701" w:type="dxa"/>
          </w:tcPr>
          <w:p w14:paraId="173479A0"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London average</w:t>
            </w:r>
          </w:p>
        </w:tc>
        <w:tc>
          <w:tcPr>
            <w:tcW w:w="1701" w:type="dxa"/>
          </w:tcPr>
          <w:p w14:paraId="532AB2DC" w14:textId="77777777" w:rsidR="00B17961" w:rsidRPr="005F71C5" w:rsidRDefault="00B17961" w:rsidP="00B17961">
            <w:pPr>
              <w:spacing w:before="60" w:after="60"/>
              <w:jc w:val="center"/>
              <w:rPr>
                <w:rFonts w:ascii="Arial" w:hAnsi="Arial" w:cs="Arial"/>
                <w:color w:val="000000"/>
                <w:sz w:val="20"/>
                <w:szCs w:val="20"/>
              </w:rPr>
            </w:pPr>
            <w:r w:rsidRPr="005F71C5">
              <w:rPr>
                <w:rFonts w:ascii="Arial" w:hAnsi="Arial" w:cs="Arial"/>
                <w:color w:val="000000"/>
                <w:sz w:val="20"/>
                <w:szCs w:val="20"/>
              </w:rPr>
              <w:t>London average</w:t>
            </w:r>
          </w:p>
        </w:tc>
      </w:tr>
      <w:tr w:rsidR="00B17961" w:rsidRPr="00C004AF" w14:paraId="0955C17C" w14:textId="77777777" w:rsidTr="00B17961">
        <w:trPr>
          <w:cantSplit/>
        </w:trPr>
        <w:tc>
          <w:tcPr>
            <w:tcW w:w="675" w:type="dxa"/>
          </w:tcPr>
          <w:p w14:paraId="68EFAC0F"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7</w:t>
            </w:r>
          </w:p>
        </w:tc>
        <w:tc>
          <w:tcPr>
            <w:tcW w:w="3289" w:type="dxa"/>
          </w:tcPr>
          <w:p w14:paraId="4DA8B49C" w14:textId="77777777" w:rsidR="00B17961" w:rsidRPr="005F71C5" w:rsidRDefault="00B17961" w:rsidP="00B17961">
            <w:pPr>
              <w:spacing w:before="60" w:after="60"/>
              <w:rPr>
                <w:rFonts w:ascii="Arial" w:hAnsi="Arial" w:cs="Arial"/>
                <w:sz w:val="20"/>
                <w:szCs w:val="20"/>
                <w:u w:val="single"/>
              </w:rPr>
            </w:pPr>
            <w:r w:rsidRPr="005F71C5">
              <w:rPr>
                <w:rFonts w:ascii="Arial" w:hAnsi="Arial" w:cs="Arial"/>
                <w:sz w:val="20"/>
                <w:szCs w:val="20"/>
                <w:u w:val="single"/>
              </w:rPr>
              <w:t>Primary attainment (KS2):</w:t>
            </w:r>
          </w:p>
          <w:p w14:paraId="5C25937F"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Percentage of primary pupils achieving the ‘expected standard’ in English Reading, English Writing and Mathematics (combined) at the end of Key Stage 2</w:t>
            </w:r>
          </w:p>
        </w:tc>
        <w:tc>
          <w:tcPr>
            <w:tcW w:w="1843" w:type="dxa"/>
          </w:tcPr>
          <w:p w14:paraId="28984C46"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73% (8</w:t>
            </w:r>
            <w:r w:rsidRPr="005F71C5">
              <w:rPr>
                <w:rFonts w:ascii="Arial" w:hAnsi="Arial" w:cs="Arial"/>
                <w:sz w:val="20"/>
                <w:szCs w:val="20"/>
                <w:vertAlign w:val="superscript"/>
              </w:rPr>
              <w:t>TH</w:t>
            </w:r>
            <w:r w:rsidRPr="005F71C5">
              <w:rPr>
                <w:rFonts w:ascii="Arial" w:hAnsi="Arial" w:cs="Arial"/>
                <w:sz w:val="20"/>
                <w:szCs w:val="20"/>
              </w:rPr>
              <w:t>)</w:t>
            </w:r>
          </w:p>
        </w:tc>
        <w:tc>
          <w:tcPr>
            <w:tcW w:w="1701" w:type="dxa"/>
          </w:tcPr>
          <w:p w14:paraId="75B2EACD"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 in England</w:t>
            </w:r>
          </w:p>
        </w:tc>
        <w:tc>
          <w:tcPr>
            <w:tcW w:w="1701" w:type="dxa"/>
          </w:tcPr>
          <w:p w14:paraId="6BE69E5A"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 xml:space="preserve">Top 10% </w:t>
            </w:r>
          </w:p>
        </w:tc>
      </w:tr>
      <w:tr w:rsidR="00B17961" w:rsidRPr="00C004AF" w14:paraId="026262B4" w14:textId="77777777" w:rsidTr="00B17961">
        <w:trPr>
          <w:cantSplit/>
        </w:trPr>
        <w:tc>
          <w:tcPr>
            <w:tcW w:w="675" w:type="dxa"/>
          </w:tcPr>
          <w:p w14:paraId="39EC5CFB"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8</w:t>
            </w:r>
          </w:p>
        </w:tc>
        <w:tc>
          <w:tcPr>
            <w:tcW w:w="3289" w:type="dxa"/>
          </w:tcPr>
          <w:p w14:paraId="3BB7E618"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u w:val="single"/>
              </w:rPr>
              <w:t>Primary progress</w:t>
            </w:r>
            <w:r w:rsidRPr="005F71C5">
              <w:rPr>
                <w:rFonts w:ascii="Arial" w:hAnsi="Arial" w:cs="Arial"/>
                <w:sz w:val="20"/>
                <w:szCs w:val="20"/>
              </w:rPr>
              <w:t xml:space="preserve">: </w:t>
            </w:r>
          </w:p>
          <w:p w14:paraId="1903098D"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The average of Primary pupils’ average progress in:</w:t>
            </w:r>
          </w:p>
          <w:p w14:paraId="2492301B" w14:textId="77777777" w:rsidR="00B17961" w:rsidRPr="005F71C5" w:rsidRDefault="00B17961" w:rsidP="00A51784">
            <w:pPr>
              <w:pStyle w:val="ListParagraph"/>
              <w:numPr>
                <w:ilvl w:val="0"/>
                <w:numId w:val="3"/>
              </w:numPr>
              <w:spacing w:before="60" w:after="60"/>
              <w:contextualSpacing w:val="0"/>
              <w:rPr>
                <w:rFonts w:ascii="Arial" w:hAnsi="Arial" w:cs="Arial"/>
                <w:sz w:val="20"/>
                <w:szCs w:val="20"/>
              </w:rPr>
            </w:pPr>
            <w:r w:rsidRPr="005F71C5">
              <w:rPr>
                <w:rFonts w:ascii="Arial" w:hAnsi="Arial" w:cs="Arial"/>
                <w:sz w:val="20"/>
                <w:szCs w:val="20"/>
              </w:rPr>
              <w:t>English Reading</w:t>
            </w:r>
          </w:p>
          <w:p w14:paraId="174C3309" w14:textId="77777777" w:rsidR="00B17961" w:rsidRPr="005F71C5" w:rsidRDefault="00B17961" w:rsidP="00A51784">
            <w:pPr>
              <w:pStyle w:val="ListParagraph"/>
              <w:numPr>
                <w:ilvl w:val="0"/>
                <w:numId w:val="3"/>
              </w:numPr>
              <w:spacing w:before="60" w:after="60"/>
              <w:contextualSpacing w:val="0"/>
              <w:rPr>
                <w:rFonts w:ascii="Arial" w:hAnsi="Arial" w:cs="Arial"/>
                <w:sz w:val="20"/>
                <w:szCs w:val="20"/>
              </w:rPr>
            </w:pPr>
            <w:r w:rsidRPr="005F71C5">
              <w:rPr>
                <w:rFonts w:ascii="Arial" w:hAnsi="Arial" w:cs="Arial"/>
                <w:sz w:val="20"/>
                <w:szCs w:val="20"/>
              </w:rPr>
              <w:t>English Writing</w:t>
            </w:r>
          </w:p>
          <w:p w14:paraId="614E8EB9" w14:textId="77777777" w:rsidR="00B17961" w:rsidRPr="005F71C5" w:rsidRDefault="00B17961" w:rsidP="00A51784">
            <w:pPr>
              <w:pStyle w:val="ListParagraph"/>
              <w:numPr>
                <w:ilvl w:val="0"/>
                <w:numId w:val="3"/>
              </w:numPr>
              <w:spacing w:before="60" w:after="60"/>
              <w:contextualSpacing w:val="0"/>
              <w:rPr>
                <w:rFonts w:ascii="Arial" w:hAnsi="Arial" w:cs="Arial"/>
                <w:sz w:val="20"/>
                <w:szCs w:val="20"/>
              </w:rPr>
            </w:pPr>
            <w:r w:rsidRPr="005F71C5">
              <w:rPr>
                <w:rFonts w:ascii="Arial" w:hAnsi="Arial" w:cs="Arial"/>
                <w:sz w:val="20"/>
                <w:szCs w:val="20"/>
              </w:rPr>
              <w:t>Maths</w:t>
            </w:r>
          </w:p>
        </w:tc>
        <w:tc>
          <w:tcPr>
            <w:tcW w:w="1843" w:type="dxa"/>
          </w:tcPr>
          <w:p w14:paraId="1DC640BA" w14:textId="77777777" w:rsidR="00B17961" w:rsidRPr="005F71C5" w:rsidRDefault="00B17961" w:rsidP="00B17961">
            <w:pPr>
              <w:spacing w:before="60" w:after="60"/>
              <w:jc w:val="center"/>
              <w:rPr>
                <w:rFonts w:ascii="Arial" w:hAnsi="Arial" w:cs="Arial"/>
                <w:sz w:val="20"/>
                <w:szCs w:val="20"/>
              </w:rPr>
            </w:pPr>
          </w:p>
          <w:p w14:paraId="59ADDA2A" w14:textId="77777777" w:rsidR="00B17961" w:rsidRPr="005F71C5" w:rsidRDefault="00B17961" w:rsidP="00B17961">
            <w:pPr>
              <w:spacing w:before="60" w:after="60"/>
              <w:jc w:val="center"/>
              <w:rPr>
                <w:rFonts w:ascii="Arial" w:hAnsi="Arial" w:cs="Arial"/>
                <w:sz w:val="20"/>
                <w:szCs w:val="20"/>
              </w:rPr>
            </w:pPr>
          </w:p>
          <w:p w14:paraId="7D9758BE" w14:textId="77777777" w:rsidR="00B17961" w:rsidRPr="005F71C5" w:rsidRDefault="00B17961" w:rsidP="00B17961">
            <w:pPr>
              <w:spacing w:before="60" w:after="60"/>
              <w:jc w:val="center"/>
              <w:rPr>
                <w:rFonts w:ascii="Arial" w:hAnsi="Arial" w:cs="Arial"/>
                <w:sz w:val="20"/>
                <w:szCs w:val="20"/>
              </w:rPr>
            </w:pPr>
          </w:p>
          <w:p w14:paraId="323468E9"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2</w:t>
            </w:r>
            <w:r w:rsidRPr="005F71C5">
              <w:rPr>
                <w:rFonts w:ascii="Arial" w:hAnsi="Arial" w:cs="Arial"/>
                <w:sz w:val="20"/>
                <w:szCs w:val="20"/>
                <w:vertAlign w:val="superscript"/>
              </w:rPr>
              <w:t>nd</w:t>
            </w:r>
          </w:p>
          <w:p w14:paraId="1FA97E1A" w14:textId="77777777" w:rsidR="00B17961" w:rsidRPr="005F71C5" w:rsidRDefault="00B17961" w:rsidP="00B17961">
            <w:pPr>
              <w:spacing w:before="60" w:after="60"/>
              <w:jc w:val="center"/>
              <w:rPr>
                <w:rFonts w:ascii="Arial" w:hAnsi="Arial" w:cs="Arial"/>
                <w:b/>
                <w:color w:val="FF0000"/>
                <w:sz w:val="20"/>
                <w:szCs w:val="20"/>
              </w:rPr>
            </w:pPr>
            <w:r w:rsidRPr="005F71C5">
              <w:rPr>
                <w:rFonts w:ascii="Arial" w:hAnsi="Arial" w:cs="Arial"/>
                <w:b/>
                <w:color w:val="FF0000"/>
                <w:sz w:val="20"/>
                <w:szCs w:val="20"/>
              </w:rPr>
              <w:t>42</w:t>
            </w:r>
            <w:r w:rsidRPr="005F71C5">
              <w:rPr>
                <w:rFonts w:ascii="Arial" w:hAnsi="Arial" w:cs="Arial"/>
                <w:b/>
                <w:color w:val="FF0000"/>
                <w:sz w:val="20"/>
                <w:szCs w:val="20"/>
                <w:vertAlign w:val="superscript"/>
              </w:rPr>
              <w:t>nd</w:t>
            </w:r>
          </w:p>
          <w:p w14:paraId="44575B8D"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8</w:t>
            </w:r>
            <w:r w:rsidRPr="005F71C5">
              <w:rPr>
                <w:rFonts w:ascii="Arial" w:hAnsi="Arial" w:cs="Arial"/>
                <w:sz w:val="20"/>
                <w:szCs w:val="20"/>
                <w:vertAlign w:val="superscript"/>
              </w:rPr>
              <w:t>th</w:t>
            </w:r>
          </w:p>
        </w:tc>
        <w:tc>
          <w:tcPr>
            <w:tcW w:w="1701" w:type="dxa"/>
          </w:tcPr>
          <w:p w14:paraId="665FFB39" w14:textId="77777777" w:rsidR="00B17961" w:rsidRPr="005F71C5" w:rsidRDefault="00B17961" w:rsidP="00B17961">
            <w:pPr>
              <w:spacing w:before="60" w:after="60"/>
              <w:jc w:val="center"/>
              <w:rPr>
                <w:rFonts w:ascii="Arial" w:hAnsi="Arial" w:cs="Arial"/>
                <w:sz w:val="20"/>
                <w:szCs w:val="20"/>
              </w:rPr>
            </w:pPr>
          </w:p>
          <w:p w14:paraId="0B35B318"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 in England</w:t>
            </w:r>
          </w:p>
        </w:tc>
        <w:tc>
          <w:tcPr>
            <w:tcW w:w="1701" w:type="dxa"/>
          </w:tcPr>
          <w:p w14:paraId="26245D16" w14:textId="77777777" w:rsidR="00B17961" w:rsidRPr="005F71C5" w:rsidRDefault="00B17961" w:rsidP="00B17961">
            <w:pPr>
              <w:spacing w:before="60" w:after="60"/>
              <w:jc w:val="center"/>
              <w:rPr>
                <w:rFonts w:ascii="Arial" w:hAnsi="Arial" w:cs="Arial"/>
                <w:sz w:val="20"/>
                <w:szCs w:val="20"/>
              </w:rPr>
            </w:pPr>
          </w:p>
          <w:p w14:paraId="5C13E5C3"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 xml:space="preserve">Top 10% </w:t>
            </w:r>
          </w:p>
        </w:tc>
      </w:tr>
      <w:tr w:rsidR="00B17961" w:rsidRPr="00C004AF" w14:paraId="397841A7" w14:textId="77777777" w:rsidTr="00B17961">
        <w:trPr>
          <w:cantSplit/>
        </w:trPr>
        <w:tc>
          <w:tcPr>
            <w:tcW w:w="675" w:type="dxa"/>
          </w:tcPr>
          <w:p w14:paraId="13714658"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9</w:t>
            </w:r>
          </w:p>
        </w:tc>
        <w:tc>
          <w:tcPr>
            <w:tcW w:w="3289" w:type="dxa"/>
          </w:tcPr>
          <w:p w14:paraId="7BA46539" w14:textId="77777777" w:rsidR="00B17961" w:rsidRPr="005F71C5" w:rsidRDefault="00B17961" w:rsidP="00B17961">
            <w:pPr>
              <w:spacing w:before="60" w:after="60"/>
              <w:rPr>
                <w:rFonts w:ascii="Arial" w:hAnsi="Arial" w:cs="Arial"/>
                <w:sz w:val="20"/>
                <w:szCs w:val="20"/>
                <w:u w:val="single"/>
              </w:rPr>
            </w:pPr>
            <w:r w:rsidRPr="005F71C5">
              <w:rPr>
                <w:rFonts w:ascii="Arial" w:hAnsi="Arial" w:cs="Arial"/>
                <w:sz w:val="20"/>
                <w:szCs w:val="20"/>
                <w:u w:val="single"/>
              </w:rPr>
              <w:t>Secondary attainment and progress (GCSEs):</w:t>
            </w:r>
          </w:p>
          <w:p w14:paraId="6CCC48F2" w14:textId="77777777" w:rsidR="00B17961" w:rsidRPr="005F71C5" w:rsidRDefault="00B17961" w:rsidP="00B17961">
            <w:pPr>
              <w:spacing w:before="60" w:after="60"/>
              <w:rPr>
                <w:rFonts w:ascii="Arial" w:hAnsi="Arial" w:cs="Arial"/>
                <w:sz w:val="20"/>
                <w:szCs w:val="20"/>
              </w:rPr>
            </w:pPr>
            <w:proofErr w:type="spellStart"/>
            <w:proofErr w:type="gramStart"/>
            <w:r w:rsidRPr="005F71C5">
              <w:rPr>
                <w:rFonts w:ascii="Arial" w:hAnsi="Arial" w:cs="Arial"/>
                <w:sz w:val="20"/>
                <w:szCs w:val="20"/>
              </w:rPr>
              <w:t>a</w:t>
            </w:r>
            <w:proofErr w:type="spellEnd"/>
            <w:r w:rsidRPr="005F71C5">
              <w:rPr>
                <w:rFonts w:ascii="Arial" w:hAnsi="Arial" w:cs="Arial"/>
                <w:sz w:val="20"/>
                <w:szCs w:val="20"/>
              </w:rPr>
              <w:t xml:space="preserve">  Average</w:t>
            </w:r>
            <w:proofErr w:type="gramEnd"/>
            <w:r w:rsidRPr="005F71C5">
              <w:rPr>
                <w:rFonts w:ascii="Arial" w:hAnsi="Arial" w:cs="Arial"/>
                <w:sz w:val="20"/>
                <w:szCs w:val="20"/>
              </w:rPr>
              <w:t xml:space="preserve"> Attainment 8 Score</w:t>
            </w:r>
          </w:p>
          <w:p w14:paraId="741754E3" w14:textId="77777777" w:rsidR="00B17961" w:rsidRPr="005F71C5" w:rsidRDefault="00B17961" w:rsidP="00B17961">
            <w:pPr>
              <w:spacing w:before="60" w:after="60"/>
              <w:rPr>
                <w:rFonts w:ascii="Arial" w:hAnsi="Arial" w:cs="Arial"/>
                <w:sz w:val="20"/>
                <w:szCs w:val="20"/>
              </w:rPr>
            </w:pPr>
            <w:proofErr w:type="gramStart"/>
            <w:r w:rsidRPr="005F71C5">
              <w:rPr>
                <w:rFonts w:ascii="Arial" w:hAnsi="Arial" w:cs="Arial"/>
                <w:sz w:val="20"/>
                <w:szCs w:val="20"/>
              </w:rPr>
              <w:t>b  Average</w:t>
            </w:r>
            <w:proofErr w:type="gramEnd"/>
            <w:r w:rsidRPr="005F71C5">
              <w:rPr>
                <w:rFonts w:ascii="Arial" w:hAnsi="Arial" w:cs="Arial"/>
                <w:sz w:val="20"/>
                <w:szCs w:val="20"/>
              </w:rPr>
              <w:t xml:space="preserve"> Progress 8 Score</w:t>
            </w:r>
          </w:p>
          <w:p w14:paraId="3E2074BD" w14:textId="77777777" w:rsidR="00B17961" w:rsidRPr="005F71C5" w:rsidRDefault="00B17961" w:rsidP="00B17961">
            <w:pPr>
              <w:spacing w:before="60" w:after="60"/>
              <w:rPr>
                <w:rFonts w:ascii="Arial" w:hAnsi="Arial" w:cs="Arial"/>
                <w:sz w:val="20"/>
                <w:szCs w:val="20"/>
              </w:rPr>
            </w:pPr>
            <w:proofErr w:type="gramStart"/>
            <w:r w:rsidRPr="005F71C5">
              <w:rPr>
                <w:rFonts w:ascii="Arial" w:hAnsi="Arial" w:cs="Arial"/>
                <w:sz w:val="20"/>
                <w:szCs w:val="20"/>
              </w:rPr>
              <w:t>c  Percentage</w:t>
            </w:r>
            <w:proofErr w:type="gramEnd"/>
            <w:r w:rsidRPr="005F71C5">
              <w:rPr>
                <w:rFonts w:ascii="Arial" w:hAnsi="Arial" w:cs="Arial"/>
                <w:sz w:val="20"/>
                <w:szCs w:val="20"/>
              </w:rPr>
              <w:t xml:space="preserve"> of pupils achieving grade 5 in English and mathematics</w:t>
            </w:r>
          </w:p>
          <w:p w14:paraId="7E2B3C44" w14:textId="77777777" w:rsidR="00B17961" w:rsidRPr="005F71C5" w:rsidRDefault="00B17961" w:rsidP="00B17961">
            <w:pPr>
              <w:spacing w:before="60" w:after="60"/>
              <w:rPr>
                <w:rFonts w:ascii="Arial" w:hAnsi="Arial" w:cs="Arial"/>
                <w:sz w:val="20"/>
                <w:szCs w:val="20"/>
              </w:rPr>
            </w:pPr>
            <w:proofErr w:type="gramStart"/>
            <w:r w:rsidRPr="005F71C5">
              <w:rPr>
                <w:rFonts w:ascii="Arial" w:hAnsi="Arial" w:cs="Arial"/>
                <w:sz w:val="20"/>
                <w:szCs w:val="20"/>
              </w:rPr>
              <w:t>d  Percentage</w:t>
            </w:r>
            <w:proofErr w:type="gramEnd"/>
            <w:r w:rsidRPr="005F71C5">
              <w:rPr>
                <w:rFonts w:ascii="Arial" w:hAnsi="Arial" w:cs="Arial"/>
                <w:sz w:val="20"/>
                <w:szCs w:val="20"/>
              </w:rPr>
              <w:t xml:space="preserve"> of pupils achieving the English Baccalaureate</w:t>
            </w:r>
          </w:p>
        </w:tc>
        <w:tc>
          <w:tcPr>
            <w:tcW w:w="1843" w:type="dxa"/>
          </w:tcPr>
          <w:p w14:paraId="5BB3F317" w14:textId="77777777" w:rsidR="00B17961" w:rsidRPr="005F71C5" w:rsidRDefault="00B17961" w:rsidP="00B17961">
            <w:pPr>
              <w:spacing w:before="60" w:after="60"/>
              <w:jc w:val="center"/>
              <w:rPr>
                <w:rFonts w:ascii="Arial" w:hAnsi="Arial" w:cs="Arial"/>
                <w:sz w:val="20"/>
                <w:szCs w:val="20"/>
              </w:rPr>
            </w:pPr>
          </w:p>
          <w:p w14:paraId="218192E6" w14:textId="77777777" w:rsidR="00B17961" w:rsidRPr="005F71C5" w:rsidRDefault="00B17961" w:rsidP="00B17961">
            <w:pPr>
              <w:spacing w:before="60" w:after="60"/>
              <w:jc w:val="center"/>
              <w:rPr>
                <w:rFonts w:ascii="Arial" w:hAnsi="Arial" w:cs="Arial"/>
                <w:sz w:val="20"/>
                <w:szCs w:val="20"/>
              </w:rPr>
            </w:pPr>
          </w:p>
          <w:p w14:paraId="02ED375B" w14:textId="77777777" w:rsidR="00B17961" w:rsidRPr="005F71C5" w:rsidRDefault="00B17961" w:rsidP="00B17961">
            <w:pPr>
              <w:rPr>
                <w:rFonts w:ascii="Arial" w:eastAsia="Times New Roman" w:hAnsi="Arial" w:cs="Arial"/>
                <w:sz w:val="20"/>
                <w:szCs w:val="20"/>
                <w:vertAlign w:val="superscript"/>
                <w:lang w:eastAsia="en-GB"/>
              </w:rPr>
            </w:pPr>
            <w:r w:rsidRPr="005F71C5">
              <w:rPr>
                <w:rFonts w:ascii="Arial" w:eastAsia="Times New Roman" w:hAnsi="Arial" w:cs="Arial"/>
                <w:sz w:val="20"/>
                <w:szCs w:val="20"/>
                <w:lang w:eastAsia="en-GB"/>
              </w:rPr>
              <w:t xml:space="preserve">a.   </w:t>
            </w:r>
            <w:proofErr w:type="gramStart"/>
            <w:r w:rsidRPr="005F71C5">
              <w:rPr>
                <w:rFonts w:ascii="Arial" w:eastAsia="Times New Roman" w:hAnsi="Arial" w:cs="Arial"/>
                <w:sz w:val="20"/>
                <w:szCs w:val="20"/>
                <w:lang w:eastAsia="en-GB"/>
              </w:rPr>
              <w:t>56</w:t>
            </w:r>
            <w:r>
              <w:rPr>
                <w:rFonts w:ascii="Arial" w:eastAsia="Times New Roman" w:hAnsi="Arial" w:cs="Arial"/>
                <w:sz w:val="20"/>
                <w:szCs w:val="20"/>
                <w:lang w:eastAsia="en-GB"/>
              </w:rPr>
              <w:t>.</w:t>
            </w:r>
            <w:r w:rsidRPr="005F71C5">
              <w:rPr>
                <w:rFonts w:ascii="Arial" w:eastAsia="Times New Roman" w:hAnsi="Arial" w:cs="Arial"/>
                <w:sz w:val="20"/>
                <w:szCs w:val="20"/>
                <w:lang w:eastAsia="en-GB"/>
              </w:rPr>
              <w:t>0  (</w:t>
            </w:r>
            <w:proofErr w:type="gramEnd"/>
            <w:r w:rsidRPr="005F71C5">
              <w:rPr>
                <w:rFonts w:ascii="Arial" w:eastAsia="Times New Roman" w:hAnsi="Arial" w:cs="Arial"/>
                <w:sz w:val="20"/>
                <w:szCs w:val="20"/>
                <w:lang w:eastAsia="en-GB"/>
              </w:rPr>
              <w:t>5</w:t>
            </w:r>
            <w:r w:rsidRPr="005F71C5">
              <w:rPr>
                <w:rFonts w:ascii="Arial" w:eastAsia="Times New Roman" w:hAnsi="Arial" w:cs="Arial"/>
                <w:sz w:val="20"/>
                <w:szCs w:val="20"/>
                <w:vertAlign w:val="superscript"/>
                <w:lang w:eastAsia="en-GB"/>
              </w:rPr>
              <w:t>th</w:t>
            </w:r>
            <w:r w:rsidRPr="005F71C5">
              <w:rPr>
                <w:rFonts w:ascii="Arial" w:eastAsia="Times New Roman" w:hAnsi="Arial" w:cs="Arial"/>
                <w:sz w:val="20"/>
                <w:szCs w:val="20"/>
                <w:lang w:eastAsia="en-GB"/>
              </w:rPr>
              <w:t>)</w:t>
            </w:r>
          </w:p>
          <w:p w14:paraId="61716191" w14:textId="77777777" w:rsidR="00B17961" w:rsidRPr="005F71C5" w:rsidRDefault="00B17961" w:rsidP="00B17961">
            <w:pPr>
              <w:rPr>
                <w:rFonts w:ascii="Arial" w:hAnsi="Arial" w:cs="Arial"/>
                <w:sz w:val="20"/>
                <w:szCs w:val="20"/>
              </w:rPr>
            </w:pPr>
            <w:r w:rsidRPr="005F71C5">
              <w:rPr>
                <w:rFonts w:ascii="Arial" w:hAnsi="Arial" w:cs="Arial"/>
                <w:sz w:val="20"/>
                <w:szCs w:val="20"/>
              </w:rPr>
              <w:t>b.   0.57 (2</w:t>
            </w:r>
            <w:r w:rsidRPr="005F71C5">
              <w:rPr>
                <w:rFonts w:ascii="Arial" w:hAnsi="Arial" w:cs="Arial"/>
                <w:sz w:val="20"/>
                <w:szCs w:val="20"/>
                <w:vertAlign w:val="superscript"/>
              </w:rPr>
              <w:t>nd</w:t>
            </w:r>
            <w:r w:rsidRPr="005F71C5">
              <w:rPr>
                <w:rFonts w:ascii="Arial" w:hAnsi="Arial" w:cs="Arial"/>
                <w:sz w:val="20"/>
                <w:szCs w:val="20"/>
              </w:rPr>
              <w:t>)</w:t>
            </w:r>
          </w:p>
          <w:p w14:paraId="55B8EAC4" w14:textId="77777777" w:rsidR="00B17961" w:rsidRPr="005F71C5" w:rsidRDefault="00B17961" w:rsidP="00B17961">
            <w:pPr>
              <w:rPr>
                <w:rFonts w:ascii="Arial" w:eastAsia="Times New Roman" w:hAnsi="Arial" w:cs="Arial"/>
                <w:sz w:val="20"/>
                <w:szCs w:val="20"/>
                <w:vertAlign w:val="superscript"/>
                <w:lang w:eastAsia="en-GB"/>
              </w:rPr>
            </w:pPr>
          </w:p>
          <w:p w14:paraId="3213520C" w14:textId="77777777" w:rsidR="00B17961" w:rsidRPr="005F71C5" w:rsidRDefault="00B17961" w:rsidP="00A51784">
            <w:pPr>
              <w:pStyle w:val="ListParagraph"/>
              <w:numPr>
                <w:ilvl w:val="0"/>
                <w:numId w:val="12"/>
              </w:numPr>
              <w:rPr>
                <w:rFonts w:ascii="Arial" w:eastAsia="Times New Roman" w:hAnsi="Arial" w:cs="Arial"/>
                <w:sz w:val="20"/>
                <w:szCs w:val="20"/>
                <w:lang w:eastAsia="en-GB"/>
              </w:rPr>
            </w:pPr>
            <w:r w:rsidRPr="005F71C5">
              <w:rPr>
                <w:rFonts w:ascii="Arial" w:eastAsia="Times New Roman" w:hAnsi="Arial" w:cs="Arial"/>
                <w:sz w:val="20"/>
                <w:szCs w:val="20"/>
                <w:lang w:eastAsia="en-GB"/>
              </w:rPr>
              <w:t>60.6% (5</w:t>
            </w:r>
            <w:r w:rsidRPr="005F71C5">
              <w:rPr>
                <w:rFonts w:ascii="Arial" w:eastAsia="Times New Roman" w:hAnsi="Arial" w:cs="Arial"/>
                <w:sz w:val="20"/>
                <w:szCs w:val="20"/>
                <w:vertAlign w:val="superscript"/>
                <w:lang w:eastAsia="en-GB"/>
              </w:rPr>
              <w:t>th</w:t>
            </w:r>
            <w:r w:rsidRPr="005F71C5">
              <w:rPr>
                <w:rFonts w:ascii="Arial" w:eastAsia="Times New Roman" w:hAnsi="Arial" w:cs="Arial"/>
                <w:sz w:val="20"/>
                <w:szCs w:val="20"/>
                <w:lang w:eastAsia="en-GB"/>
              </w:rPr>
              <w:t>)</w:t>
            </w:r>
          </w:p>
          <w:p w14:paraId="2A3F5EF7" w14:textId="77777777" w:rsidR="00B17961" w:rsidRPr="005F71C5" w:rsidRDefault="00B17961" w:rsidP="00B17961">
            <w:pPr>
              <w:pStyle w:val="ListParagraph"/>
              <w:ind w:left="360"/>
              <w:rPr>
                <w:rFonts w:ascii="Arial" w:eastAsia="Times New Roman" w:hAnsi="Arial" w:cs="Arial"/>
                <w:sz w:val="20"/>
                <w:szCs w:val="20"/>
                <w:lang w:eastAsia="en-GB"/>
              </w:rPr>
            </w:pPr>
          </w:p>
          <w:p w14:paraId="5C2B03F1" w14:textId="77777777" w:rsidR="00B17961" w:rsidRPr="005F71C5" w:rsidRDefault="00B17961" w:rsidP="00A51784">
            <w:pPr>
              <w:pStyle w:val="ListParagraph"/>
              <w:numPr>
                <w:ilvl w:val="0"/>
                <w:numId w:val="12"/>
              </w:numPr>
              <w:rPr>
                <w:rFonts w:ascii="Arial" w:eastAsia="Times New Roman" w:hAnsi="Arial" w:cs="Arial"/>
                <w:sz w:val="20"/>
                <w:szCs w:val="20"/>
                <w:lang w:eastAsia="en-GB"/>
              </w:rPr>
            </w:pPr>
            <w:r w:rsidRPr="005F71C5">
              <w:rPr>
                <w:rFonts w:ascii="Arial" w:eastAsia="Times New Roman" w:hAnsi="Arial" w:cs="Arial"/>
                <w:sz w:val="20"/>
                <w:szCs w:val="20"/>
                <w:lang w:eastAsia="en-GB"/>
              </w:rPr>
              <w:t>37.3% (4</w:t>
            </w:r>
            <w:r w:rsidRPr="005F71C5">
              <w:rPr>
                <w:rFonts w:ascii="Arial" w:eastAsia="Times New Roman" w:hAnsi="Arial" w:cs="Arial"/>
                <w:sz w:val="20"/>
                <w:szCs w:val="20"/>
                <w:vertAlign w:val="superscript"/>
                <w:lang w:eastAsia="en-GB"/>
              </w:rPr>
              <w:t>th</w:t>
            </w:r>
            <w:r w:rsidRPr="005F71C5">
              <w:rPr>
                <w:rFonts w:ascii="Arial" w:eastAsia="Times New Roman" w:hAnsi="Arial" w:cs="Arial"/>
                <w:sz w:val="20"/>
                <w:szCs w:val="20"/>
                <w:lang w:eastAsia="en-GB"/>
              </w:rPr>
              <w:t>)</w:t>
            </w:r>
          </w:p>
        </w:tc>
        <w:tc>
          <w:tcPr>
            <w:tcW w:w="1701" w:type="dxa"/>
          </w:tcPr>
          <w:p w14:paraId="79432910" w14:textId="77777777" w:rsidR="00B17961" w:rsidRPr="005F71C5" w:rsidRDefault="00B17961" w:rsidP="00B17961">
            <w:pPr>
              <w:spacing w:before="60" w:after="60"/>
              <w:jc w:val="center"/>
              <w:rPr>
                <w:rFonts w:ascii="Arial" w:hAnsi="Arial" w:cs="Arial"/>
                <w:sz w:val="20"/>
                <w:szCs w:val="20"/>
              </w:rPr>
            </w:pPr>
          </w:p>
          <w:p w14:paraId="208B35F6" w14:textId="77777777" w:rsidR="00B17961" w:rsidRPr="005F71C5" w:rsidRDefault="00B17961" w:rsidP="00B17961">
            <w:pPr>
              <w:spacing w:before="60" w:after="60"/>
              <w:jc w:val="center"/>
              <w:rPr>
                <w:rFonts w:ascii="Arial" w:hAnsi="Arial" w:cs="Arial"/>
                <w:sz w:val="20"/>
                <w:szCs w:val="20"/>
              </w:rPr>
            </w:pPr>
          </w:p>
          <w:p w14:paraId="17A1EE9E" w14:textId="77777777" w:rsidR="00B17961" w:rsidRPr="005F71C5" w:rsidRDefault="00B17961" w:rsidP="00B17961">
            <w:pPr>
              <w:spacing w:before="60" w:after="60"/>
              <w:jc w:val="center"/>
              <w:rPr>
                <w:rFonts w:ascii="Arial" w:hAnsi="Arial" w:cs="Arial"/>
                <w:sz w:val="20"/>
                <w:szCs w:val="20"/>
              </w:rPr>
            </w:pPr>
          </w:p>
          <w:p w14:paraId="3A4BEB7B"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 in England</w:t>
            </w:r>
          </w:p>
        </w:tc>
        <w:tc>
          <w:tcPr>
            <w:tcW w:w="1701" w:type="dxa"/>
          </w:tcPr>
          <w:p w14:paraId="0D959D7C" w14:textId="77777777" w:rsidR="00B17961" w:rsidRPr="005F71C5" w:rsidRDefault="00B17961" w:rsidP="00B17961">
            <w:pPr>
              <w:spacing w:before="60" w:after="60"/>
              <w:jc w:val="center"/>
              <w:rPr>
                <w:rFonts w:ascii="Arial" w:hAnsi="Arial" w:cs="Arial"/>
                <w:sz w:val="20"/>
                <w:szCs w:val="20"/>
              </w:rPr>
            </w:pPr>
          </w:p>
          <w:p w14:paraId="3FC762AE" w14:textId="77777777" w:rsidR="00B17961" w:rsidRPr="005F71C5" w:rsidRDefault="00B17961" w:rsidP="00B17961">
            <w:pPr>
              <w:spacing w:before="60" w:after="60"/>
              <w:jc w:val="center"/>
              <w:rPr>
                <w:rFonts w:ascii="Arial" w:hAnsi="Arial" w:cs="Arial"/>
                <w:sz w:val="20"/>
                <w:szCs w:val="20"/>
              </w:rPr>
            </w:pPr>
          </w:p>
          <w:p w14:paraId="5F2195BC" w14:textId="77777777" w:rsidR="00B17961" w:rsidRPr="005F71C5" w:rsidRDefault="00B17961" w:rsidP="00B17961">
            <w:pPr>
              <w:spacing w:before="60" w:after="60"/>
              <w:jc w:val="center"/>
              <w:rPr>
                <w:rFonts w:ascii="Arial" w:hAnsi="Arial" w:cs="Arial"/>
                <w:sz w:val="20"/>
                <w:szCs w:val="20"/>
              </w:rPr>
            </w:pPr>
          </w:p>
          <w:p w14:paraId="267A360C"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w:t>
            </w:r>
          </w:p>
        </w:tc>
      </w:tr>
      <w:tr w:rsidR="00B17961" w:rsidRPr="00C004AF" w14:paraId="66A3A62B" w14:textId="77777777" w:rsidTr="00B17961">
        <w:trPr>
          <w:cantSplit/>
        </w:trPr>
        <w:tc>
          <w:tcPr>
            <w:tcW w:w="675" w:type="dxa"/>
          </w:tcPr>
          <w:p w14:paraId="557B6E98"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10</w:t>
            </w:r>
          </w:p>
        </w:tc>
        <w:tc>
          <w:tcPr>
            <w:tcW w:w="3289" w:type="dxa"/>
          </w:tcPr>
          <w:p w14:paraId="7B4EAFA2" w14:textId="77777777" w:rsidR="00B17961" w:rsidRPr="005F71C5" w:rsidRDefault="00B17961" w:rsidP="00B17961">
            <w:pPr>
              <w:tabs>
                <w:tab w:val="left" w:pos="1147"/>
              </w:tabs>
              <w:spacing w:before="60" w:after="60"/>
              <w:rPr>
                <w:rFonts w:ascii="Arial" w:hAnsi="Arial" w:cs="Arial"/>
                <w:sz w:val="20"/>
                <w:szCs w:val="20"/>
                <w:u w:val="single"/>
              </w:rPr>
            </w:pPr>
            <w:r w:rsidRPr="005F71C5">
              <w:rPr>
                <w:rFonts w:ascii="Arial" w:hAnsi="Arial" w:cs="Arial"/>
                <w:sz w:val="20"/>
                <w:szCs w:val="20"/>
                <w:u w:val="single"/>
              </w:rPr>
              <w:t xml:space="preserve">Primary disadvantaged pupils </w:t>
            </w:r>
          </w:p>
          <w:p w14:paraId="14B4C1B5"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a: % of disadvantaged pupils (this includes Free School Meal 6 and Children Looked After pupils) achieving the ‘expected standard’ in English Reading, English Writing and Mathematics (combined) at the end of Key Stage 2</w:t>
            </w:r>
          </w:p>
          <w:p w14:paraId="7577E6F0"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 xml:space="preserve">AND </w:t>
            </w:r>
          </w:p>
          <w:p w14:paraId="13E36925"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b: Difference between attainment level of disadvantaged pupils and their peers nationally (‘expected standard’ in RWM combined) at the end of Key Stage 2.</w:t>
            </w:r>
          </w:p>
        </w:tc>
        <w:tc>
          <w:tcPr>
            <w:tcW w:w="1843" w:type="dxa"/>
          </w:tcPr>
          <w:p w14:paraId="16456FE9" w14:textId="77777777" w:rsidR="00B17961" w:rsidRPr="005F71C5" w:rsidRDefault="00B17961" w:rsidP="00B17961">
            <w:pPr>
              <w:spacing w:before="60" w:after="60"/>
              <w:jc w:val="center"/>
              <w:rPr>
                <w:rFonts w:ascii="Arial" w:hAnsi="Arial" w:cs="Arial"/>
                <w:sz w:val="20"/>
                <w:szCs w:val="20"/>
              </w:rPr>
            </w:pPr>
          </w:p>
          <w:p w14:paraId="00E2EB5B" w14:textId="77777777" w:rsidR="00B17961" w:rsidRPr="005F71C5" w:rsidRDefault="00B17961" w:rsidP="00B17961">
            <w:pPr>
              <w:spacing w:before="60" w:after="60"/>
              <w:jc w:val="center"/>
              <w:rPr>
                <w:rFonts w:ascii="Arial" w:hAnsi="Arial" w:cs="Arial"/>
                <w:sz w:val="20"/>
                <w:szCs w:val="20"/>
              </w:rPr>
            </w:pPr>
          </w:p>
          <w:p w14:paraId="1C6BADE5" w14:textId="77777777" w:rsidR="00B17961" w:rsidRPr="005F71C5" w:rsidRDefault="00B17961" w:rsidP="00B17961">
            <w:pPr>
              <w:spacing w:before="60" w:after="60"/>
              <w:jc w:val="center"/>
              <w:rPr>
                <w:rFonts w:ascii="Arial" w:hAnsi="Arial" w:cs="Arial"/>
                <w:sz w:val="20"/>
                <w:szCs w:val="20"/>
              </w:rPr>
            </w:pPr>
          </w:p>
          <w:p w14:paraId="69FAE7A2" w14:textId="77777777" w:rsidR="00B17961" w:rsidRPr="005F71C5" w:rsidRDefault="00B17961" w:rsidP="00B17961">
            <w:pPr>
              <w:spacing w:before="60" w:after="60"/>
              <w:jc w:val="center"/>
              <w:rPr>
                <w:rFonts w:ascii="Arial" w:hAnsi="Arial" w:cs="Arial"/>
                <w:sz w:val="20"/>
                <w:szCs w:val="20"/>
              </w:rPr>
            </w:pPr>
          </w:p>
          <w:p w14:paraId="59951518"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62% (9</w:t>
            </w:r>
            <w:r w:rsidRPr="005F71C5">
              <w:rPr>
                <w:rFonts w:ascii="Arial" w:hAnsi="Arial" w:cs="Arial"/>
                <w:sz w:val="20"/>
                <w:szCs w:val="20"/>
                <w:vertAlign w:val="superscript"/>
              </w:rPr>
              <w:t>th</w:t>
            </w:r>
            <w:r w:rsidRPr="005F71C5">
              <w:rPr>
                <w:rFonts w:ascii="Arial" w:hAnsi="Arial" w:cs="Arial"/>
                <w:sz w:val="20"/>
                <w:szCs w:val="20"/>
              </w:rPr>
              <w:t>)</w:t>
            </w:r>
          </w:p>
          <w:p w14:paraId="475716C8" w14:textId="77777777" w:rsidR="00B17961" w:rsidRPr="005F71C5" w:rsidRDefault="00B17961" w:rsidP="00B17961">
            <w:pPr>
              <w:spacing w:before="60" w:after="60"/>
              <w:jc w:val="center"/>
              <w:rPr>
                <w:rFonts w:ascii="Arial" w:hAnsi="Arial" w:cs="Arial"/>
                <w:sz w:val="20"/>
                <w:szCs w:val="20"/>
              </w:rPr>
            </w:pPr>
          </w:p>
          <w:p w14:paraId="7311C10F" w14:textId="77777777" w:rsidR="00B17961" w:rsidRPr="005F71C5" w:rsidRDefault="00B17961" w:rsidP="00B17961">
            <w:pPr>
              <w:spacing w:before="60" w:after="60"/>
              <w:jc w:val="center"/>
              <w:rPr>
                <w:rFonts w:ascii="Arial" w:hAnsi="Arial" w:cs="Arial"/>
                <w:sz w:val="20"/>
                <w:szCs w:val="20"/>
              </w:rPr>
            </w:pPr>
          </w:p>
          <w:p w14:paraId="0B284474" w14:textId="77777777" w:rsidR="00B17961" w:rsidRPr="005F71C5" w:rsidRDefault="00B17961" w:rsidP="00B17961">
            <w:pPr>
              <w:spacing w:before="120"/>
              <w:jc w:val="center"/>
              <w:rPr>
                <w:rFonts w:ascii="Arial" w:eastAsia="Times New Roman" w:hAnsi="Arial" w:cs="Arial"/>
                <w:sz w:val="20"/>
                <w:szCs w:val="20"/>
                <w:lang w:eastAsia="en-GB"/>
              </w:rPr>
            </w:pPr>
            <w:r w:rsidRPr="005F71C5">
              <w:rPr>
                <w:rFonts w:ascii="Arial" w:eastAsia="Times New Roman" w:hAnsi="Arial" w:cs="Arial"/>
                <w:sz w:val="20"/>
                <w:szCs w:val="20"/>
                <w:lang w:eastAsia="en-GB"/>
              </w:rPr>
              <w:t>-9 % points</w:t>
            </w:r>
          </w:p>
          <w:p w14:paraId="22D6CE1D" w14:textId="77777777" w:rsidR="00B17961" w:rsidRPr="005F71C5" w:rsidRDefault="00B17961" w:rsidP="00B17961">
            <w:pPr>
              <w:jc w:val="center"/>
              <w:rPr>
                <w:rFonts w:ascii="Arial" w:eastAsia="Times New Roman" w:hAnsi="Arial" w:cs="Arial"/>
                <w:sz w:val="20"/>
                <w:szCs w:val="20"/>
                <w:lang w:eastAsia="en-GB"/>
              </w:rPr>
            </w:pPr>
            <w:r w:rsidRPr="005F71C5">
              <w:rPr>
                <w:rFonts w:ascii="Arial" w:eastAsia="Times New Roman" w:hAnsi="Arial" w:cs="Arial"/>
                <w:sz w:val="20"/>
                <w:szCs w:val="20"/>
                <w:lang w:eastAsia="en-GB"/>
              </w:rPr>
              <w:t>(Barnet Disadvantaged 62% v National Other – Non-Disadvantaged 71%)</w:t>
            </w:r>
          </w:p>
          <w:p w14:paraId="25ADFC50" w14:textId="77777777" w:rsidR="00B17961" w:rsidRPr="005F71C5" w:rsidRDefault="00B17961" w:rsidP="00B17961">
            <w:pPr>
              <w:spacing w:before="60" w:after="60"/>
              <w:jc w:val="center"/>
              <w:rPr>
                <w:rFonts w:ascii="Arial" w:hAnsi="Arial" w:cs="Arial"/>
                <w:sz w:val="20"/>
                <w:szCs w:val="20"/>
              </w:rPr>
            </w:pPr>
            <w:r w:rsidRPr="005F71C5">
              <w:rPr>
                <w:rFonts w:ascii="Arial" w:eastAsia="Times New Roman" w:hAnsi="Arial" w:cs="Arial"/>
                <w:sz w:val="20"/>
                <w:szCs w:val="20"/>
                <w:lang w:eastAsia="en-GB"/>
              </w:rPr>
              <w:t xml:space="preserve">Ranked </w:t>
            </w:r>
            <w:r>
              <w:rPr>
                <w:rFonts w:ascii="Arial" w:eastAsia="Times New Roman" w:hAnsi="Arial" w:cs="Arial"/>
                <w:sz w:val="20"/>
                <w:szCs w:val="20"/>
                <w:lang w:eastAsia="en-GB"/>
              </w:rPr>
              <w:t>9</w:t>
            </w:r>
            <w:r w:rsidRPr="005F71C5">
              <w:rPr>
                <w:rFonts w:ascii="Arial" w:eastAsia="Times New Roman" w:hAnsi="Arial" w:cs="Arial"/>
                <w:sz w:val="20"/>
                <w:szCs w:val="20"/>
                <w:vertAlign w:val="superscript"/>
                <w:lang w:eastAsia="en-GB"/>
              </w:rPr>
              <w:t>th</w:t>
            </w:r>
          </w:p>
          <w:p w14:paraId="1EB5515F" w14:textId="77777777" w:rsidR="00B17961" w:rsidRPr="005F71C5" w:rsidRDefault="00B17961" w:rsidP="00B17961">
            <w:pPr>
              <w:spacing w:before="60" w:after="60"/>
              <w:jc w:val="center"/>
              <w:rPr>
                <w:rFonts w:ascii="Arial" w:hAnsi="Arial" w:cs="Arial"/>
                <w:sz w:val="20"/>
                <w:szCs w:val="20"/>
              </w:rPr>
            </w:pPr>
          </w:p>
          <w:p w14:paraId="2CFF67DB" w14:textId="77777777" w:rsidR="00B17961" w:rsidRPr="005F71C5" w:rsidRDefault="00B17961" w:rsidP="00B17961">
            <w:pPr>
              <w:spacing w:before="60" w:after="60"/>
              <w:jc w:val="center"/>
              <w:rPr>
                <w:rFonts w:ascii="Arial" w:hAnsi="Arial" w:cs="Arial"/>
                <w:sz w:val="20"/>
                <w:szCs w:val="20"/>
              </w:rPr>
            </w:pPr>
          </w:p>
        </w:tc>
        <w:tc>
          <w:tcPr>
            <w:tcW w:w="1701" w:type="dxa"/>
          </w:tcPr>
          <w:p w14:paraId="5D3FF4D4" w14:textId="77777777" w:rsidR="00B17961" w:rsidRPr="005F71C5" w:rsidRDefault="00B17961" w:rsidP="00B17961">
            <w:pPr>
              <w:spacing w:before="60" w:after="60"/>
              <w:jc w:val="center"/>
              <w:rPr>
                <w:rFonts w:ascii="Arial" w:hAnsi="Arial" w:cs="Arial"/>
                <w:sz w:val="20"/>
                <w:szCs w:val="20"/>
              </w:rPr>
            </w:pPr>
          </w:p>
          <w:p w14:paraId="79A052A9" w14:textId="77777777" w:rsidR="00B17961" w:rsidRPr="005F71C5" w:rsidRDefault="00B17961" w:rsidP="00B17961">
            <w:pPr>
              <w:spacing w:before="60" w:after="60"/>
              <w:jc w:val="center"/>
              <w:rPr>
                <w:rFonts w:ascii="Arial" w:hAnsi="Arial" w:cs="Arial"/>
                <w:sz w:val="20"/>
                <w:szCs w:val="20"/>
              </w:rPr>
            </w:pPr>
          </w:p>
          <w:p w14:paraId="169021F2" w14:textId="77777777" w:rsidR="00B17961" w:rsidRPr="005F71C5" w:rsidRDefault="00B17961" w:rsidP="00B17961">
            <w:pPr>
              <w:spacing w:before="60" w:after="60"/>
              <w:jc w:val="center"/>
              <w:rPr>
                <w:rFonts w:ascii="Arial" w:hAnsi="Arial" w:cs="Arial"/>
                <w:sz w:val="20"/>
                <w:szCs w:val="20"/>
              </w:rPr>
            </w:pPr>
          </w:p>
          <w:p w14:paraId="327300D4" w14:textId="77777777" w:rsidR="00B17961" w:rsidRPr="005F71C5" w:rsidRDefault="00B17961" w:rsidP="00B17961">
            <w:pPr>
              <w:spacing w:before="60" w:after="60"/>
              <w:jc w:val="center"/>
              <w:rPr>
                <w:rFonts w:ascii="Arial" w:hAnsi="Arial" w:cs="Arial"/>
                <w:sz w:val="20"/>
                <w:szCs w:val="20"/>
              </w:rPr>
            </w:pPr>
          </w:p>
          <w:p w14:paraId="00F39C89"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 in England</w:t>
            </w:r>
          </w:p>
          <w:p w14:paraId="1CC8ED3E" w14:textId="77777777" w:rsidR="00B17961" w:rsidRPr="005F71C5" w:rsidRDefault="00B17961" w:rsidP="00B17961">
            <w:pPr>
              <w:spacing w:before="60" w:after="60"/>
              <w:jc w:val="center"/>
              <w:rPr>
                <w:rFonts w:ascii="Arial" w:hAnsi="Arial" w:cs="Arial"/>
                <w:sz w:val="20"/>
                <w:szCs w:val="20"/>
              </w:rPr>
            </w:pPr>
          </w:p>
          <w:p w14:paraId="63422336" w14:textId="77777777" w:rsidR="00B17961" w:rsidRPr="005F71C5" w:rsidRDefault="00B17961" w:rsidP="00B17961">
            <w:pPr>
              <w:spacing w:before="60" w:after="60"/>
              <w:jc w:val="center"/>
              <w:rPr>
                <w:rFonts w:ascii="Arial" w:hAnsi="Arial" w:cs="Arial"/>
                <w:sz w:val="20"/>
                <w:szCs w:val="20"/>
              </w:rPr>
            </w:pPr>
          </w:p>
          <w:p w14:paraId="7B4DC317" w14:textId="77777777" w:rsidR="00B17961" w:rsidRPr="005F71C5" w:rsidRDefault="00B17961" w:rsidP="00B17961">
            <w:pPr>
              <w:spacing w:before="60" w:after="60"/>
              <w:jc w:val="center"/>
              <w:rPr>
                <w:rFonts w:ascii="Arial" w:hAnsi="Arial" w:cs="Arial"/>
                <w:sz w:val="20"/>
                <w:szCs w:val="20"/>
              </w:rPr>
            </w:pPr>
          </w:p>
          <w:p w14:paraId="7142443C" w14:textId="77777777" w:rsidR="00B17961" w:rsidRPr="005F71C5" w:rsidRDefault="00B17961" w:rsidP="00B17961">
            <w:pPr>
              <w:spacing w:before="60" w:after="60"/>
              <w:jc w:val="center"/>
              <w:rPr>
                <w:rFonts w:ascii="Arial" w:hAnsi="Arial" w:cs="Arial"/>
                <w:sz w:val="20"/>
                <w:szCs w:val="20"/>
              </w:rPr>
            </w:pPr>
          </w:p>
          <w:p w14:paraId="1640ADCE"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 in England</w:t>
            </w:r>
          </w:p>
        </w:tc>
        <w:tc>
          <w:tcPr>
            <w:tcW w:w="1701" w:type="dxa"/>
          </w:tcPr>
          <w:p w14:paraId="4A5882FD" w14:textId="77777777" w:rsidR="00B17961" w:rsidRPr="005F71C5" w:rsidRDefault="00B17961" w:rsidP="00B17961">
            <w:pPr>
              <w:spacing w:before="60" w:after="60"/>
              <w:jc w:val="center"/>
              <w:rPr>
                <w:rFonts w:ascii="Arial" w:hAnsi="Arial" w:cs="Arial"/>
                <w:sz w:val="20"/>
                <w:szCs w:val="20"/>
              </w:rPr>
            </w:pPr>
          </w:p>
          <w:p w14:paraId="40A604DE" w14:textId="77777777" w:rsidR="00B17961" w:rsidRPr="005F71C5" w:rsidRDefault="00B17961" w:rsidP="00B17961">
            <w:pPr>
              <w:spacing w:before="60" w:after="60"/>
              <w:jc w:val="center"/>
              <w:rPr>
                <w:rFonts w:ascii="Arial" w:hAnsi="Arial" w:cs="Arial"/>
                <w:sz w:val="20"/>
                <w:szCs w:val="20"/>
              </w:rPr>
            </w:pPr>
          </w:p>
          <w:p w14:paraId="3C159423" w14:textId="77777777" w:rsidR="00B17961" w:rsidRPr="005F71C5" w:rsidRDefault="00B17961" w:rsidP="00B17961">
            <w:pPr>
              <w:spacing w:before="60" w:after="60"/>
              <w:jc w:val="center"/>
              <w:rPr>
                <w:rFonts w:ascii="Arial" w:hAnsi="Arial" w:cs="Arial"/>
                <w:sz w:val="20"/>
                <w:szCs w:val="20"/>
              </w:rPr>
            </w:pPr>
          </w:p>
          <w:p w14:paraId="22E0D43D" w14:textId="77777777" w:rsidR="00B17961" w:rsidRPr="005F71C5" w:rsidRDefault="00B17961" w:rsidP="00B17961">
            <w:pPr>
              <w:spacing w:before="60" w:after="60"/>
              <w:jc w:val="center"/>
              <w:rPr>
                <w:rFonts w:ascii="Arial" w:hAnsi="Arial" w:cs="Arial"/>
                <w:sz w:val="20"/>
                <w:szCs w:val="20"/>
              </w:rPr>
            </w:pPr>
          </w:p>
          <w:p w14:paraId="263AF39D"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w:t>
            </w:r>
          </w:p>
          <w:p w14:paraId="3EA0A481" w14:textId="77777777" w:rsidR="00B17961" w:rsidRPr="005F71C5" w:rsidRDefault="00B17961" w:rsidP="00B17961">
            <w:pPr>
              <w:spacing w:before="60" w:after="60"/>
              <w:jc w:val="center"/>
              <w:rPr>
                <w:rFonts w:ascii="Arial" w:hAnsi="Arial" w:cs="Arial"/>
                <w:sz w:val="20"/>
                <w:szCs w:val="20"/>
              </w:rPr>
            </w:pPr>
          </w:p>
          <w:p w14:paraId="33D3B3DE" w14:textId="77777777" w:rsidR="00B17961" w:rsidRPr="005F71C5" w:rsidRDefault="00B17961" w:rsidP="00B17961">
            <w:pPr>
              <w:spacing w:before="60" w:after="60"/>
              <w:jc w:val="center"/>
              <w:rPr>
                <w:rFonts w:ascii="Arial" w:hAnsi="Arial" w:cs="Arial"/>
                <w:sz w:val="20"/>
                <w:szCs w:val="20"/>
              </w:rPr>
            </w:pPr>
          </w:p>
          <w:p w14:paraId="5BA81EAB" w14:textId="77777777" w:rsidR="00B17961" w:rsidRPr="005F71C5" w:rsidRDefault="00B17961" w:rsidP="00B17961">
            <w:pPr>
              <w:spacing w:before="60" w:after="60"/>
              <w:jc w:val="center"/>
              <w:rPr>
                <w:rFonts w:ascii="Arial" w:hAnsi="Arial" w:cs="Arial"/>
                <w:sz w:val="20"/>
                <w:szCs w:val="20"/>
              </w:rPr>
            </w:pPr>
          </w:p>
          <w:p w14:paraId="5BAD69D9" w14:textId="77777777" w:rsidR="00B17961" w:rsidRPr="005F71C5" w:rsidRDefault="00B17961" w:rsidP="00B17961">
            <w:pPr>
              <w:spacing w:before="60" w:after="60"/>
              <w:jc w:val="center"/>
              <w:rPr>
                <w:rFonts w:ascii="Arial" w:hAnsi="Arial" w:cs="Arial"/>
                <w:sz w:val="20"/>
                <w:szCs w:val="20"/>
              </w:rPr>
            </w:pPr>
          </w:p>
          <w:p w14:paraId="26C2A0F8" w14:textId="77777777" w:rsidR="00B17961" w:rsidRPr="005F71C5" w:rsidRDefault="00B17961" w:rsidP="00B17961">
            <w:pPr>
              <w:spacing w:before="60" w:after="60"/>
              <w:jc w:val="center"/>
              <w:rPr>
                <w:rFonts w:ascii="Arial" w:hAnsi="Arial" w:cs="Arial"/>
                <w:sz w:val="20"/>
                <w:szCs w:val="20"/>
              </w:rPr>
            </w:pPr>
          </w:p>
          <w:p w14:paraId="13A61C98"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w:t>
            </w:r>
          </w:p>
        </w:tc>
      </w:tr>
      <w:tr w:rsidR="00B17961" w:rsidRPr="00C004AF" w14:paraId="238FFE91" w14:textId="77777777" w:rsidTr="00B17961">
        <w:trPr>
          <w:cantSplit/>
        </w:trPr>
        <w:tc>
          <w:tcPr>
            <w:tcW w:w="675" w:type="dxa"/>
          </w:tcPr>
          <w:p w14:paraId="2F2AAD3E"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1</w:t>
            </w:r>
            <w:r>
              <w:rPr>
                <w:rFonts w:ascii="Arial" w:hAnsi="Arial" w:cs="Arial"/>
                <w:sz w:val="20"/>
                <w:szCs w:val="20"/>
              </w:rPr>
              <w:t>1</w:t>
            </w:r>
          </w:p>
        </w:tc>
        <w:tc>
          <w:tcPr>
            <w:tcW w:w="3289" w:type="dxa"/>
          </w:tcPr>
          <w:p w14:paraId="1344F366"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u w:val="single"/>
              </w:rPr>
              <w:t>Secondary FSM attainment and achievement and narrowing the gaps</w:t>
            </w:r>
            <w:r w:rsidRPr="005F71C5">
              <w:rPr>
                <w:rFonts w:ascii="Arial" w:hAnsi="Arial" w:cs="Arial"/>
                <w:sz w:val="20"/>
                <w:szCs w:val="20"/>
              </w:rPr>
              <w:t>:</w:t>
            </w:r>
          </w:p>
          <w:p w14:paraId="573A5BA8" w14:textId="77777777" w:rsidR="00B17961" w:rsidRPr="005F71C5" w:rsidRDefault="00B17961" w:rsidP="00B17961">
            <w:pPr>
              <w:tabs>
                <w:tab w:val="left" w:pos="1147"/>
              </w:tabs>
              <w:spacing w:before="60" w:after="60"/>
              <w:rPr>
                <w:rFonts w:ascii="Arial" w:hAnsi="Arial" w:cs="Arial"/>
                <w:sz w:val="20"/>
                <w:szCs w:val="20"/>
              </w:rPr>
            </w:pPr>
            <w:proofErr w:type="spellStart"/>
            <w:proofErr w:type="gramStart"/>
            <w:r w:rsidRPr="005F71C5">
              <w:rPr>
                <w:rFonts w:ascii="Arial" w:hAnsi="Arial" w:cs="Arial"/>
                <w:sz w:val="20"/>
                <w:szCs w:val="20"/>
              </w:rPr>
              <w:t>a</w:t>
            </w:r>
            <w:proofErr w:type="spellEnd"/>
            <w:r w:rsidRPr="005F71C5">
              <w:rPr>
                <w:rFonts w:ascii="Arial" w:hAnsi="Arial" w:cs="Arial"/>
                <w:sz w:val="20"/>
                <w:szCs w:val="20"/>
              </w:rPr>
              <w:t xml:space="preserve">  Average</w:t>
            </w:r>
            <w:proofErr w:type="gramEnd"/>
            <w:r w:rsidRPr="005F71C5">
              <w:rPr>
                <w:rFonts w:ascii="Arial" w:hAnsi="Arial" w:cs="Arial"/>
                <w:sz w:val="20"/>
                <w:szCs w:val="20"/>
              </w:rPr>
              <w:t xml:space="preserve"> Attainment 8 Score for disadvantaged pupils.</w:t>
            </w:r>
          </w:p>
          <w:p w14:paraId="74DB206F" w14:textId="77777777" w:rsidR="00B17961" w:rsidRPr="005F71C5" w:rsidRDefault="00B17961" w:rsidP="00B17961">
            <w:pPr>
              <w:tabs>
                <w:tab w:val="left" w:pos="1147"/>
              </w:tabs>
              <w:spacing w:before="60" w:after="60"/>
              <w:rPr>
                <w:rFonts w:ascii="Arial" w:hAnsi="Arial" w:cs="Arial"/>
                <w:sz w:val="20"/>
                <w:szCs w:val="20"/>
              </w:rPr>
            </w:pPr>
            <w:proofErr w:type="gramStart"/>
            <w:r w:rsidRPr="005F71C5">
              <w:rPr>
                <w:rFonts w:ascii="Arial" w:hAnsi="Arial" w:cs="Arial"/>
                <w:sz w:val="20"/>
                <w:szCs w:val="20"/>
              </w:rPr>
              <w:t>b  Average</w:t>
            </w:r>
            <w:proofErr w:type="gramEnd"/>
            <w:r w:rsidRPr="005F71C5">
              <w:rPr>
                <w:rFonts w:ascii="Arial" w:hAnsi="Arial" w:cs="Arial"/>
                <w:sz w:val="20"/>
                <w:szCs w:val="20"/>
              </w:rPr>
              <w:t xml:space="preserve"> Progress 8 Score for disadvantaged pupils.</w:t>
            </w:r>
          </w:p>
          <w:p w14:paraId="15782B74" w14:textId="77777777" w:rsidR="00B17961" w:rsidRPr="005F71C5" w:rsidRDefault="00B17961" w:rsidP="00B17961">
            <w:pPr>
              <w:tabs>
                <w:tab w:val="left" w:pos="1147"/>
              </w:tabs>
              <w:spacing w:before="60" w:after="60"/>
              <w:rPr>
                <w:rFonts w:ascii="Arial" w:hAnsi="Arial" w:cs="Arial"/>
                <w:sz w:val="20"/>
                <w:szCs w:val="20"/>
              </w:rPr>
            </w:pPr>
            <w:proofErr w:type="gramStart"/>
            <w:r w:rsidRPr="005F71C5">
              <w:rPr>
                <w:rFonts w:ascii="Arial" w:hAnsi="Arial" w:cs="Arial"/>
                <w:sz w:val="20"/>
                <w:szCs w:val="20"/>
              </w:rPr>
              <w:t>c  Attainment</w:t>
            </w:r>
            <w:proofErr w:type="gramEnd"/>
            <w:r w:rsidRPr="005F71C5">
              <w:rPr>
                <w:rFonts w:ascii="Arial" w:hAnsi="Arial" w:cs="Arial"/>
                <w:sz w:val="20"/>
                <w:szCs w:val="20"/>
              </w:rPr>
              <w:t xml:space="preserve"> gap between disadvantaged pupils and other pupils nationally (Average Attainment 8 Score for disadvantaged pupils in Barnet - Average Attainment 8 Score for pupils not disadvantaged nationally)</w:t>
            </w:r>
          </w:p>
          <w:p w14:paraId="3E27AE9F" w14:textId="77777777" w:rsidR="00B17961" w:rsidRPr="005F71C5" w:rsidRDefault="00B17961" w:rsidP="00B17961">
            <w:pPr>
              <w:tabs>
                <w:tab w:val="left" w:pos="1147"/>
              </w:tabs>
              <w:spacing w:before="60" w:after="60"/>
              <w:rPr>
                <w:rFonts w:ascii="Arial" w:hAnsi="Arial" w:cs="Arial"/>
                <w:sz w:val="20"/>
                <w:szCs w:val="20"/>
              </w:rPr>
            </w:pPr>
            <w:proofErr w:type="gramStart"/>
            <w:r w:rsidRPr="005F71C5">
              <w:rPr>
                <w:rFonts w:ascii="Arial" w:hAnsi="Arial" w:cs="Arial"/>
                <w:sz w:val="20"/>
                <w:szCs w:val="20"/>
              </w:rPr>
              <w:t>d  Achievement</w:t>
            </w:r>
            <w:proofErr w:type="gramEnd"/>
            <w:r w:rsidRPr="005F71C5">
              <w:rPr>
                <w:rFonts w:ascii="Arial" w:hAnsi="Arial" w:cs="Arial"/>
                <w:sz w:val="20"/>
                <w:szCs w:val="20"/>
              </w:rPr>
              <w:t xml:space="preserve"> gap between disadvantaged pupils and other pupils nationally (Average Progress 8 Score  for disadvantaged pupils on FSM - Average Progress 8 Score for pupils not disadvantaged nationally)</w:t>
            </w:r>
          </w:p>
        </w:tc>
        <w:tc>
          <w:tcPr>
            <w:tcW w:w="1843" w:type="dxa"/>
          </w:tcPr>
          <w:p w14:paraId="1362ED6B" w14:textId="77777777" w:rsidR="00B17961" w:rsidRPr="005F71C5" w:rsidRDefault="00B17961" w:rsidP="00B17961">
            <w:pPr>
              <w:spacing w:before="60" w:after="60"/>
              <w:jc w:val="center"/>
              <w:rPr>
                <w:rFonts w:ascii="Arial" w:hAnsi="Arial" w:cs="Arial"/>
                <w:sz w:val="20"/>
                <w:szCs w:val="20"/>
              </w:rPr>
            </w:pPr>
          </w:p>
          <w:p w14:paraId="553AEBAD" w14:textId="77777777" w:rsidR="00B17961" w:rsidRPr="005F71C5" w:rsidRDefault="00B17961" w:rsidP="00B17961">
            <w:pPr>
              <w:spacing w:before="60" w:after="60"/>
              <w:jc w:val="center"/>
              <w:rPr>
                <w:rFonts w:ascii="Arial" w:hAnsi="Arial" w:cs="Arial"/>
                <w:sz w:val="20"/>
                <w:szCs w:val="20"/>
              </w:rPr>
            </w:pPr>
          </w:p>
          <w:p w14:paraId="50702277" w14:textId="77777777" w:rsidR="00B17961" w:rsidRPr="005F71C5" w:rsidRDefault="00B17961" w:rsidP="00B17961">
            <w:pPr>
              <w:spacing w:before="60" w:after="60"/>
              <w:jc w:val="center"/>
              <w:rPr>
                <w:rFonts w:ascii="Arial" w:hAnsi="Arial" w:cs="Arial"/>
                <w:sz w:val="20"/>
                <w:szCs w:val="20"/>
              </w:rPr>
            </w:pPr>
          </w:p>
          <w:p w14:paraId="78E7082B"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45.3% (5</w:t>
            </w:r>
            <w:r w:rsidRPr="005F71C5">
              <w:rPr>
                <w:rFonts w:ascii="Arial" w:hAnsi="Arial" w:cs="Arial"/>
                <w:sz w:val="20"/>
                <w:szCs w:val="20"/>
                <w:vertAlign w:val="superscript"/>
              </w:rPr>
              <w:t>th</w:t>
            </w:r>
            <w:r w:rsidRPr="005F71C5">
              <w:rPr>
                <w:rFonts w:ascii="Arial" w:hAnsi="Arial" w:cs="Arial"/>
                <w:sz w:val="20"/>
                <w:szCs w:val="20"/>
              </w:rPr>
              <w:t>)</w:t>
            </w:r>
          </w:p>
          <w:p w14:paraId="52314AC3" w14:textId="77777777" w:rsidR="00B17961" w:rsidRPr="005F71C5" w:rsidRDefault="00B17961" w:rsidP="00B17961">
            <w:pPr>
              <w:spacing w:before="60" w:after="60"/>
              <w:jc w:val="center"/>
              <w:rPr>
                <w:rFonts w:ascii="Arial" w:hAnsi="Arial" w:cs="Arial"/>
                <w:sz w:val="20"/>
                <w:szCs w:val="20"/>
              </w:rPr>
            </w:pPr>
          </w:p>
          <w:p w14:paraId="480DFF78"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0.23 (4</w:t>
            </w:r>
            <w:r w:rsidRPr="005F71C5">
              <w:rPr>
                <w:rFonts w:ascii="Arial" w:hAnsi="Arial" w:cs="Arial"/>
                <w:sz w:val="20"/>
                <w:szCs w:val="20"/>
                <w:vertAlign w:val="superscript"/>
              </w:rPr>
              <w:t>th</w:t>
            </w:r>
            <w:r w:rsidRPr="005F71C5">
              <w:rPr>
                <w:rFonts w:ascii="Arial" w:hAnsi="Arial" w:cs="Arial"/>
                <w:sz w:val="20"/>
                <w:szCs w:val="20"/>
              </w:rPr>
              <w:t>)</w:t>
            </w:r>
          </w:p>
          <w:p w14:paraId="5C0E7642" w14:textId="77777777" w:rsidR="00B17961" w:rsidRPr="005F71C5" w:rsidRDefault="00B17961" w:rsidP="00B17961">
            <w:pPr>
              <w:spacing w:before="60" w:after="60"/>
              <w:jc w:val="center"/>
              <w:rPr>
                <w:rFonts w:ascii="Arial" w:hAnsi="Arial" w:cs="Arial"/>
                <w:sz w:val="20"/>
                <w:szCs w:val="20"/>
                <w:vertAlign w:val="superscript"/>
              </w:rPr>
            </w:pPr>
          </w:p>
          <w:p w14:paraId="31DBAFBF" w14:textId="77777777" w:rsidR="00B17961" w:rsidRPr="005F71C5" w:rsidRDefault="00B17961" w:rsidP="00B17961">
            <w:pPr>
              <w:spacing w:before="60" w:after="60"/>
              <w:jc w:val="center"/>
              <w:rPr>
                <w:rFonts w:ascii="Arial" w:hAnsi="Arial" w:cs="Arial"/>
                <w:sz w:val="20"/>
                <w:szCs w:val="20"/>
                <w:vertAlign w:val="superscript"/>
              </w:rPr>
            </w:pPr>
          </w:p>
          <w:p w14:paraId="53F21032" w14:textId="77777777" w:rsidR="00B17961" w:rsidRPr="005F71C5" w:rsidRDefault="00B17961" w:rsidP="00B17961">
            <w:pPr>
              <w:spacing w:before="60" w:after="60"/>
              <w:jc w:val="center"/>
              <w:rPr>
                <w:rFonts w:ascii="Arial" w:hAnsi="Arial" w:cs="Arial"/>
                <w:sz w:val="20"/>
                <w:szCs w:val="20"/>
                <w:vertAlign w:val="superscript"/>
              </w:rPr>
            </w:pPr>
          </w:p>
          <w:p w14:paraId="086437E4" w14:textId="77777777" w:rsidR="00B17961" w:rsidRPr="005F71C5" w:rsidRDefault="00B17961" w:rsidP="00B17961">
            <w:pPr>
              <w:spacing w:before="60" w:after="60"/>
              <w:jc w:val="center"/>
              <w:rPr>
                <w:rFonts w:ascii="Arial" w:hAnsi="Arial" w:cs="Arial"/>
                <w:sz w:val="20"/>
                <w:szCs w:val="20"/>
                <w:vertAlign w:val="superscript"/>
              </w:rPr>
            </w:pPr>
          </w:p>
          <w:p w14:paraId="07C0E49F"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-5 (5</w:t>
            </w:r>
            <w:r w:rsidRPr="005F71C5">
              <w:rPr>
                <w:rFonts w:ascii="Arial" w:hAnsi="Arial" w:cs="Arial"/>
                <w:sz w:val="20"/>
                <w:szCs w:val="20"/>
                <w:vertAlign w:val="superscript"/>
              </w:rPr>
              <w:t>th</w:t>
            </w:r>
            <w:r w:rsidRPr="005F71C5">
              <w:rPr>
                <w:rFonts w:ascii="Arial" w:hAnsi="Arial" w:cs="Arial"/>
                <w:sz w:val="20"/>
                <w:szCs w:val="20"/>
              </w:rPr>
              <w:t>)</w:t>
            </w:r>
          </w:p>
          <w:p w14:paraId="0E0F637C" w14:textId="77777777" w:rsidR="00B17961" w:rsidRPr="005F71C5" w:rsidRDefault="00B17961" w:rsidP="00B17961">
            <w:pPr>
              <w:spacing w:before="60" w:after="60"/>
              <w:jc w:val="center"/>
              <w:rPr>
                <w:rFonts w:ascii="Arial" w:hAnsi="Arial" w:cs="Arial"/>
                <w:sz w:val="20"/>
                <w:szCs w:val="20"/>
              </w:rPr>
            </w:pPr>
          </w:p>
          <w:p w14:paraId="7F68369A" w14:textId="77777777" w:rsidR="00B17961" w:rsidRPr="005F71C5" w:rsidRDefault="00B17961" w:rsidP="00B17961">
            <w:pPr>
              <w:spacing w:before="60" w:after="60"/>
              <w:jc w:val="center"/>
              <w:rPr>
                <w:rFonts w:ascii="Arial" w:hAnsi="Arial" w:cs="Arial"/>
                <w:sz w:val="20"/>
                <w:szCs w:val="20"/>
              </w:rPr>
            </w:pPr>
          </w:p>
          <w:p w14:paraId="5C03B8BD" w14:textId="77777777" w:rsidR="00B17961" w:rsidRPr="005F71C5" w:rsidRDefault="00B17961" w:rsidP="00B17961">
            <w:pPr>
              <w:spacing w:before="60" w:after="60"/>
              <w:jc w:val="center"/>
              <w:rPr>
                <w:rFonts w:ascii="Arial" w:hAnsi="Arial" w:cs="Arial"/>
                <w:sz w:val="20"/>
                <w:szCs w:val="20"/>
              </w:rPr>
            </w:pPr>
          </w:p>
          <w:p w14:paraId="15D3222C" w14:textId="77777777" w:rsidR="00B17961" w:rsidRPr="005F71C5" w:rsidRDefault="00B17961" w:rsidP="00B17961">
            <w:pPr>
              <w:spacing w:before="60" w:after="60"/>
              <w:jc w:val="center"/>
              <w:rPr>
                <w:rFonts w:ascii="Arial" w:hAnsi="Arial" w:cs="Arial"/>
                <w:sz w:val="20"/>
                <w:szCs w:val="20"/>
              </w:rPr>
            </w:pPr>
          </w:p>
          <w:p w14:paraId="5FD2C0F5"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+0.10 (4</w:t>
            </w:r>
            <w:r w:rsidRPr="005F71C5">
              <w:rPr>
                <w:rFonts w:ascii="Arial" w:hAnsi="Arial" w:cs="Arial"/>
                <w:sz w:val="20"/>
                <w:szCs w:val="20"/>
                <w:vertAlign w:val="superscript"/>
              </w:rPr>
              <w:t>th</w:t>
            </w:r>
            <w:r w:rsidRPr="005F71C5">
              <w:rPr>
                <w:rFonts w:ascii="Arial" w:hAnsi="Arial" w:cs="Arial"/>
                <w:sz w:val="20"/>
                <w:szCs w:val="20"/>
              </w:rPr>
              <w:t>)</w:t>
            </w:r>
          </w:p>
          <w:p w14:paraId="33416214" w14:textId="77777777" w:rsidR="00B17961" w:rsidRPr="005F71C5" w:rsidRDefault="00B17961" w:rsidP="00B17961">
            <w:pPr>
              <w:spacing w:before="60" w:after="60"/>
              <w:jc w:val="center"/>
              <w:rPr>
                <w:rFonts w:ascii="Arial" w:hAnsi="Arial" w:cs="Arial"/>
                <w:sz w:val="20"/>
                <w:szCs w:val="20"/>
                <w:vertAlign w:val="superscript"/>
              </w:rPr>
            </w:pPr>
          </w:p>
          <w:p w14:paraId="6E5C6265" w14:textId="77777777" w:rsidR="00B17961" w:rsidRPr="005F71C5" w:rsidRDefault="00B17961" w:rsidP="00B17961">
            <w:pPr>
              <w:spacing w:before="60" w:after="60"/>
              <w:jc w:val="center"/>
              <w:rPr>
                <w:rFonts w:ascii="Arial" w:hAnsi="Arial" w:cs="Arial"/>
                <w:sz w:val="20"/>
                <w:szCs w:val="20"/>
                <w:vertAlign w:val="superscript"/>
              </w:rPr>
            </w:pPr>
          </w:p>
          <w:p w14:paraId="6937A151" w14:textId="77777777" w:rsidR="00B17961" w:rsidRPr="005F71C5" w:rsidRDefault="00B17961" w:rsidP="00B17961">
            <w:pPr>
              <w:spacing w:before="60" w:after="60"/>
              <w:jc w:val="center"/>
              <w:rPr>
                <w:rFonts w:ascii="Arial" w:hAnsi="Arial" w:cs="Arial"/>
                <w:sz w:val="20"/>
                <w:szCs w:val="20"/>
                <w:vertAlign w:val="superscript"/>
              </w:rPr>
            </w:pPr>
          </w:p>
          <w:p w14:paraId="16349E88" w14:textId="77777777" w:rsidR="00B17961" w:rsidRPr="005F71C5" w:rsidRDefault="00B17961" w:rsidP="00B17961">
            <w:pPr>
              <w:spacing w:before="60" w:after="60"/>
              <w:rPr>
                <w:rFonts w:ascii="Arial" w:hAnsi="Arial" w:cs="Arial"/>
                <w:sz w:val="20"/>
                <w:szCs w:val="20"/>
                <w:vertAlign w:val="superscript"/>
              </w:rPr>
            </w:pPr>
          </w:p>
          <w:p w14:paraId="7BB295C7" w14:textId="77777777" w:rsidR="00B17961" w:rsidRPr="005F71C5" w:rsidRDefault="00B17961" w:rsidP="00B17961">
            <w:pPr>
              <w:spacing w:before="60" w:after="60"/>
              <w:rPr>
                <w:rFonts w:ascii="Arial" w:hAnsi="Arial" w:cs="Arial"/>
                <w:sz w:val="20"/>
                <w:szCs w:val="20"/>
                <w:vertAlign w:val="superscript"/>
              </w:rPr>
            </w:pPr>
          </w:p>
          <w:p w14:paraId="0D28F359" w14:textId="77777777" w:rsidR="00B17961" w:rsidRPr="005F71C5" w:rsidRDefault="00B17961" w:rsidP="00B17961">
            <w:pPr>
              <w:spacing w:before="60" w:after="60"/>
              <w:jc w:val="center"/>
              <w:rPr>
                <w:rFonts w:ascii="Arial" w:hAnsi="Arial" w:cs="Arial"/>
                <w:sz w:val="20"/>
                <w:szCs w:val="20"/>
              </w:rPr>
            </w:pPr>
          </w:p>
        </w:tc>
        <w:tc>
          <w:tcPr>
            <w:tcW w:w="1701" w:type="dxa"/>
          </w:tcPr>
          <w:p w14:paraId="770C6124"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 in England</w:t>
            </w:r>
          </w:p>
        </w:tc>
        <w:tc>
          <w:tcPr>
            <w:tcW w:w="1701" w:type="dxa"/>
          </w:tcPr>
          <w:p w14:paraId="30F78AAE"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Top 10%</w:t>
            </w:r>
          </w:p>
        </w:tc>
      </w:tr>
      <w:tr w:rsidR="00B17961" w:rsidRPr="00C004AF" w14:paraId="5A963AED" w14:textId="77777777" w:rsidTr="00B17961">
        <w:trPr>
          <w:cantSplit/>
        </w:trPr>
        <w:tc>
          <w:tcPr>
            <w:tcW w:w="675" w:type="dxa"/>
          </w:tcPr>
          <w:p w14:paraId="6625D3D8" w14:textId="77777777" w:rsidR="00B17961" w:rsidRPr="005F71C5" w:rsidRDefault="00B17961" w:rsidP="00B17961">
            <w:pPr>
              <w:pStyle w:val="ListParagraph"/>
              <w:spacing w:before="60" w:after="60"/>
              <w:ind w:left="0"/>
              <w:contextualSpacing w:val="0"/>
              <w:rPr>
                <w:rFonts w:ascii="Arial" w:hAnsi="Arial" w:cs="Arial"/>
                <w:sz w:val="20"/>
                <w:szCs w:val="20"/>
              </w:rPr>
            </w:pPr>
            <w:r>
              <w:rPr>
                <w:rFonts w:ascii="Arial" w:hAnsi="Arial" w:cs="Arial"/>
                <w:sz w:val="20"/>
                <w:szCs w:val="20"/>
              </w:rPr>
              <w:t>12</w:t>
            </w:r>
          </w:p>
        </w:tc>
        <w:tc>
          <w:tcPr>
            <w:tcW w:w="3289" w:type="dxa"/>
          </w:tcPr>
          <w:p w14:paraId="543CF722" w14:textId="77777777" w:rsidR="00B17961" w:rsidRPr="005F71C5" w:rsidRDefault="00B17961" w:rsidP="00B17961">
            <w:pPr>
              <w:tabs>
                <w:tab w:val="left" w:pos="1147"/>
              </w:tabs>
              <w:spacing w:before="60" w:after="60"/>
              <w:rPr>
                <w:rFonts w:ascii="Arial" w:hAnsi="Arial" w:cs="Arial"/>
                <w:sz w:val="20"/>
                <w:szCs w:val="20"/>
                <w:u w:val="single"/>
              </w:rPr>
            </w:pPr>
            <w:r w:rsidRPr="005F71C5">
              <w:rPr>
                <w:rFonts w:ascii="Arial" w:hAnsi="Arial" w:cs="Arial"/>
                <w:sz w:val="20"/>
                <w:szCs w:val="20"/>
                <w:u w:val="single"/>
              </w:rPr>
              <w:t>Progress and attainment of looked after children at KS4:</w:t>
            </w:r>
          </w:p>
          <w:p w14:paraId="41E1C23F"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a)  Average Attainment 8 score of looked after children</w:t>
            </w:r>
          </w:p>
          <w:p w14:paraId="0CE5BE23"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b)  Average Progress 8 score of looked after children</w:t>
            </w:r>
          </w:p>
          <w:p w14:paraId="64BBF09F" w14:textId="77777777" w:rsidR="00B17961" w:rsidRPr="005F71C5" w:rsidRDefault="00B17961" w:rsidP="00B17961">
            <w:pPr>
              <w:spacing w:after="120"/>
              <w:rPr>
                <w:rFonts w:ascii="Arial" w:hAnsi="Arial" w:cs="Arial"/>
                <w:bCs/>
                <w:sz w:val="20"/>
                <w:szCs w:val="20"/>
                <w:lang w:eastAsia="en-GB"/>
              </w:rPr>
            </w:pPr>
            <w:r w:rsidRPr="005F71C5">
              <w:rPr>
                <w:rFonts w:ascii="Arial" w:hAnsi="Arial" w:cs="Arial"/>
                <w:sz w:val="20"/>
                <w:szCs w:val="20"/>
              </w:rPr>
              <w:t xml:space="preserve">c)  </w:t>
            </w:r>
            <w:r w:rsidRPr="005F71C5">
              <w:rPr>
                <w:rFonts w:ascii="Arial" w:hAnsi="Arial" w:cs="Arial"/>
                <w:bCs/>
                <w:sz w:val="20"/>
                <w:szCs w:val="20"/>
                <w:lang w:eastAsia="en-GB"/>
              </w:rPr>
              <w:t>Gap between</w:t>
            </w:r>
          </w:p>
          <w:p w14:paraId="190AEE8A" w14:textId="77777777" w:rsidR="00B17961" w:rsidRPr="005F71C5" w:rsidRDefault="00B17961" w:rsidP="00B17961">
            <w:pPr>
              <w:spacing w:after="120"/>
              <w:rPr>
                <w:rFonts w:ascii="Arial" w:hAnsi="Arial" w:cs="Arial"/>
                <w:bCs/>
                <w:sz w:val="20"/>
                <w:szCs w:val="20"/>
                <w:lang w:eastAsia="en-GB"/>
              </w:rPr>
            </w:pPr>
            <w:r w:rsidRPr="005F71C5">
              <w:rPr>
                <w:rFonts w:ascii="Arial" w:hAnsi="Arial" w:cs="Arial"/>
                <w:bCs/>
                <w:sz w:val="20"/>
                <w:szCs w:val="20"/>
                <w:lang w:eastAsia="en-GB"/>
              </w:rPr>
              <w:t xml:space="preserve">  </w:t>
            </w:r>
            <w:proofErr w:type="spellStart"/>
            <w:r w:rsidRPr="005F71C5">
              <w:rPr>
                <w:rFonts w:ascii="Arial" w:hAnsi="Arial" w:cs="Arial"/>
                <w:bCs/>
                <w:sz w:val="20"/>
                <w:szCs w:val="20"/>
                <w:lang w:eastAsia="en-GB"/>
              </w:rPr>
              <w:t>i</w:t>
            </w:r>
            <w:proofErr w:type="spellEnd"/>
            <w:r w:rsidRPr="005F71C5">
              <w:rPr>
                <w:rFonts w:ascii="Arial" w:hAnsi="Arial" w:cs="Arial"/>
                <w:bCs/>
                <w:sz w:val="20"/>
                <w:szCs w:val="20"/>
                <w:lang w:eastAsia="en-GB"/>
              </w:rPr>
              <w:t>) A8 Barnet CLA and national A8 for all pupils</w:t>
            </w:r>
          </w:p>
          <w:p w14:paraId="536DD163"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bCs/>
                <w:sz w:val="20"/>
                <w:szCs w:val="20"/>
                <w:lang w:eastAsia="en-GB"/>
              </w:rPr>
              <w:t xml:space="preserve">  ii) P8 Barnet CLA and national P8 for all pupils</w:t>
            </w:r>
          </w:p>
          <w:p w14:paraId="3706B814"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d)  the quality of PEPs</w:t>
            </w:r>
          </w:p>
          <w:p w14:paraId="17D0AD70"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e)  KS2 performance (expected standards in RWM)</w:t>
            </w:r>
          </w:p>
          <w:p w14:paraId="3B9A50D1"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 xml:space="preserve">f)  </w:t>
            </w:r>
            <w:proofErr w:type="gramStart"/>
            <w:r w:rsidRPr="005F71C5">
              <w:rPr>
                <w:rFonts w:ascii="Arial" w:hAnsi="Arial" w:cs="Arial"/>
                <w:sz w:val="20"/>
                <w:szCs w:val="20"/>
              </w:rPr>
              <w:t>16-17 year old</w:t>
            </w:r>
            <w:proofErr w:type="gramEnd"/>
            <w:r w:rsidRPr="005F71C5">
              <w:rPr>
                <w:rFonts w:ascii="Arial" w:hAnsi="Arial" w:cs="Arial"/>
                <w:sz w:val="20"/>
                <w:szCs w:val="20"/>
              </w:rPr>
              <w:t xml:space="preserve"> NEETs</w:t>
            </w:r>
          </w:p>
          <w:p w14:paraId="2A1B456F"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g)  Attendance of LACs</w:t>
            </w:r>
          </w:p>
        </w:tc>
        <w:tc>
          <w:tcPr>
            <w:tcW w:w="1843" w:type="dxa"/>
          </w:tcPr>
          <w:p w14:paraId="73436F30"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 xml:space="preserve">N/A – not available until </w:t>
            </w:r>
            <w:r>
              <w:rPr>
                <w:rFonts w:ascii="Arial" w:hAnsi="Arial" w:cs="Arial"/>
                <w:sz w:val="20"/>
                <w:szCs w:val="20"/>
              </w:rPr>
              <w:t>May</w:t>
            </w:r>
            <w:r w:rsidRPr="005F71C5">
              <w:rPr>
                <w:rFonts w:ascii="Arial" w:hAnsi="Arial" w:cs="Arial"/>
                <w:sz w:val="20"/>
                <w:szCs w:val="20"/>
              </w:rPr>
              <w:t xml:space="preserve"> 2019</w:t>
            </w:r>
          </w:p>
        </w:tc>
        <w:tc>
          <w:tcPr>
            <w:tcW w:w="1701" w:type="dxa"/>
          </w:tcPr>
          <w:p w14:paraId="7D0D89A8" w14:textId="77777777" w:rsidR="00B17961" w:rsidRDefault="00B17961" w:rsidP="00B17961">
            <w:pPr>
              <w:spacing w:before="60" w:after="60"/>
              <w:jc w:val="center"/>
              <w:rPr>
                <w:rFonts w:ascii="Arial" w:hAnsi="Arial" w:cs="Arial"/>
                <w:sz w:val="20"/>
                <w:szCs w:val="20"/>
              </w:rPr>
            </w:pPr>
          </w:p>
          <w:p w14:paraId="0B66F0BD" w14:textId="77777777" w:rsidR="00B17961" w:rsidRDefault="00B17961" w:rsidP="00A51784">
            <w:pPr>
              <w:pStyle w:val="ListParagraph"/>
              <w:numPr>
                <w:ilvl w:val="0"/>
                <w:numId w:val="13"/>
              </w:numPr>
              <w:spacing w:before="60" w:after="60"/>
              <w:rPr>
                <w:rFonts w:ascii="Arial" w:hAnsi="Arial" w:cs="Arial"/>
                <w:sz w:val="20"/>
                <w:szCs w:val="20"/>
              </w:rPr>
            </w:pPr>
            <w:r w:rsidRPr="0044617F">
              <w:rPr>
                <w:rFonts w:ascii="Arial" w:hAnsi="Arial" w:cs="Arial"/>
                <w:sz w:val="20"/>
                <w:szCs w:val="20"/>
              </w:rPr>
              <w:t>5ppt above the national average</w:t>
            </w:r>
          </w:p>
          <w:p w14:paraId="072E3C22" w14:textId="77777777" w:rsidR="00B17961" w:rsidRDefault="00B17961" w:rsidP="00A51784">
            <w:pPr>
              <w:pStyle w:val="ListParagraph"/>
              <w:numPr>
                <w:ilvl w:val="0"/>
                <w:numId w:val="13"/>
              </w:numPr>
              <w:spacing w:before="60" w:after="60"/>
              <w:rPr>
                <w:rFonts w:ascii="Arial" w:hAnsi="Arial" w:cs="Arial"/>
                <w:sz w:val="20"/>
                <w:szCs w:val="20"/>
              </w:rPr>
            </w:pPr>
            <w:r>
              <w:rPr>
                <w:rFonts w:ascii="Arial" w:hAnsi="Arial" w:cs="Arial"/>
                <w:sz w:val="20"/>
                <w:szCs w:val="20"/>
              </w:rPr>
              <w:t>Top quartile</w:t>
            </w:r>
          </w:p>
          <w:p w14:paraId="13C5A40B" w14:textId="77777777" w:rsidR="00B17961" w:rsidRDefault="00B17961" w:rsidP="00B17961">
            <w:pPr>
              <w:pStyle w:val="ListParagraph"/>
              <w:spacing w:before="60" w:after="60"/>
              <w:ind w:left="360"/>
              <w:rPr>
                <w:rFonts w:ascii="Arial" w:hAnsi="Arial" w:cs="Arial"/>
                <w:sz w:val="20"/>
                <w:szCs w:val="20"/>
              </w:rPr>
            </w:pPr>
          </w:p>
          <w:p w14:paraId="2032FC9C" w14:textId="77777777" w:rsidR="00B17961" w:rsidRDefault="00B17961" w:rsidP="00A51784">
            <w:pPr>
              <w:pStyle w:val="ListParagraph"/>
              <w:numPr>
                <w:ilvl w:val="0"/>
                <w:numId w:val="13"/>
              </w:numPr>
              <w:spacing w:before="60" w:after="60"/>
              <w:rPr>
                <w:rFonts w:ascii="Arial" w:hAnsi="Arial" w:cs="Arial"/>
                <w:sz w:val="20"/>
                <w:szCs w:val="20"/>
              </w:rPr>
            </w:pPr>
            <w:r>
              <w:rPr>
                <w:rFonts w:ascii="Arial" w:hAnsi="Arial" w:cs="Arial"/>
                <w:sz w:val="20"/>
                <w:szCs w:val="20"/>
              </w:rPr>
              <w:t>Top quartile</w:t>
            </w:r>
          </w:p>
          <w:p w14:paraId="5F11B281" w14:textId="77777777" w:rsidR="00B17961" w:rsidRDefault="00B17961" w:rsidP="00B17961">
            <w:pPr>
              <w:pStyle w:val="ListParagraph"/>
              <w:spacing w:before="60" w:after="60"/>
              <w:ind w:left="360"/>
              <w:rPr>
                <w:rFonts w:ascii="Arial" w:hAnsi="Arial" w:cs="Arial"/>
                <w:sz w:val="20"/>
                <w:szCs w:val="20"/>
              </w:rPr>
            </w:pPr>
          </w:p>
          <w:p w14:paraId="44F9E3CB" w14:textId="77777777" w:rsidR="00B17961" w:rsidRDefault="00B17961" w:rsidP="00A51784">
            <w:pPr>
              <w:pStyle w:val="ListParagraph"/>
              <w:numPr>
                <w:ilvl w:val="0"/>
                <w:numId w:val="13"/>
              </w:numPr>
              <w:spacing w:before="60" w:after="60"/>
              <w:rPr>
                <w:rFonts w:ascii="Arial" w:hAnsi="Arial" w:cs="Arial"/>
                <w:sz w:val="20"/>
                <w:szCs w:val="20"/>
              </w:rPr>
            </w:pPr>
            <w:r>
              <w:rPr>
                <w:rFonts w:ascii="Arial" w:hAnsi="Arial" w:cs="Arial"/>
                <w:sz w:val="20"/>
                <w:szCs w:val="20"/>
              </w:rPr>
              <w:t>PEPs:</w:t>
            </w:r>
          </w:p>
          <w:p w14:paraId="41A4AFEC" w14:textId="77777777" w:rsidR="00B17961" w:rsidRPr="0044617F" w:rsidRDefault="00B17961" w:rsidP="00B17961">
            <w:pPr>
              <w:spacing w:before="60" w:after="60"/>
              <w:rPr>
                <w:rFonts w:ascii="Arial" w:hAnsi="Arial" w:cs="Arial"/>
                <w:sz w:val="20"/>
                <w:szCs w:val="20"/>
              </w:rPr>
            </w:pPr>
            <w:r w:rsidRPr="0044617F">
              <w:rPr>
                <w:rFonts w:ascii="Arial" w:hAnsi="Arial" w:cs="Arial"/>
                <w:sz w:val="20"/>
                <w:szCs w:val="20"/>
              </w:rPr>
              <w:t>90% 0-16</w:t>
            </w:r>
          </w:p>
          <w:p w14:paraId="65FDCE05" w14:textId="77777777" w:rsidR="00B17961" w:rsidRDefault="00B17961" w:rsidP="00B17961">
            <w:pPr>
              <w:spacing w:before="60" w:after="60"/>
              <w:rPr>
                <w:rFonts w:ascii="Arial" w:hAnsi="Arial" w:cs="Arial"/>
                <w:sz w:val="20"/>
                <w:szCs w:val="20"/>
              </w:rPr>
            </w:pPr>
            <w:r w:rsidRPr="0044617F">
              <w:rPr>
                <w:rFonts w:ascii="Arial" w:hAnsi="Arial" w:cs="Arial"/>
                <w:sz w:val="20"/>
                <w:szCs w:val="20"/>
              </w:rPr>
              <w:t>75% post-16</w:t>
            </w:r>
          </w:p>
          <w:p w14:paraId="54D57520" w14:textId="77777777" w:rsidR="00B17961" w:rsidRDefault="00B17961" w:rsidP="00A51784">
            <w:pPr>
              <w:pStyle w:val="ListParagraph"/>
              <w:numPr>
                <w:ilvl w:val="0"/>
                <w:numId w:val="13"/>
              </w:numPr>
              <w:spacing w:before="60" w:after="60"/>
              <w:rPr>
                <w:rFonts w:ascii="Arial" w:hAnsi="Arial" w:cs="Arial"/>
                <w:sz w:val="20"/>
                <w:szCs w:val="20"/>
              </w:rPr>
            </w:pPr>
            <w:r>
              <w:rPr>
                <w:rFonts w:ascii="Arial" w:hAnsi="Arial" w:cs="Arial"/>
                <w:sz w:val="20"/>
                <w:szCs w:val="20"/>
              </w:rPr>
              <w:t>None</w:t>
            </w:r>
          </w:p>
          <w:p w14:paraId="1BFB2844" w14:textId="77777777" w:rsidR="00B17961" w:rsidRDefault="00B17961" w:rsidP="00A51784">
            <w:pPr>
              <w:pStyle w:val="ListParagraph"/>
              <w:numPr>
                <w:ilvl w:val="0"/>
                <w:numId w:val="13"/>
              </w:numPr>
              <w:spacing w:before="60" w:after="60"/>
              <w:rPr>
                <w:rFonts w:ascii="Arial" w:hAnsi="Arial" w:cs="Arial"/>
                <w:sz w:val="20"/>
                <w:szCs w:val="20"/>
              </w:rPr>
            </w:pPr>
            <w:r>
              <w:rPr>
                <w:rFonts w:ascii="Arial" w:hAnsi="Arial" w:cs="Arial"/>
                <w:sz w:val="20"/>
                <w:szCs w:val="20"/>
              </w:rPr>
              <w:t>20%</w:t>
            </w:r>
          </w:p>
          <w:p w14:paraId="0D4471CD" w14:textId="77777777" w:rsidR="00B17961" w:rsidRPr="0044617F" w:rsidRDefault="00B17961" w:rsidP="00A51784">
            <w:pPr>
              <w:pStyle w:val="ListParagraph"/>
              <w:numPr>
                <w:ilvl w:val="0"/>
                <w:numId w:val="13"/>
              </w:numPr>
              <w:spacing w:before="60" w:after="60"/>
              <w:rPr>
                <w:rFonts w:ascii="Arial" w:hAnsi="Arial" w:cs="Arial"/>
                <w:sz w:val="20"/>
                <w:szCs w:val="20"/>
              </w:rPr>
            </w:pPr>
            <w:r w:rsidRPr="0044617F">
              <w:rPr>
                <w:rFonts w:ascii="Arial" w:hAnsi="Arial" w:cs="Arial"/>
                <w:sz w:val="20"/>
                <w:szCs w:val="20"/>
              </w:rPr>
              <w:t>96% or national average, whichever is higher</w:t>
            </w:r>
          </w:p>
        </w:tc>
        <w:tc>
          <w:tcPr>
            <w:tcW w:w="1701" w:type="dxa"/>
          </w:tcPr>
          <w:p w14:paraId="15CE88B0" w14:textId="77777777" w:rsidR="00B17961" w:rsidRDefault="00B17961" w:rsidP="00B17961">
            <w:pPr>
              <w:pStyle w:val="ListParagraph"/>
              <w:spacing w:before="60" w:after="60"/>
              <w:ind w:left="360"/>
              <w:rPr>
                <w:rFonts w:ascii="Arial" w:hAnsi="Arial" w:cs="Arial"/>
                <w:sz w:val="20"/>
                <w:szCs w:val="20"/>
              </w:rPr>
            </w:pPr>
          </w:p>
          <w:p w14:paraId="2F5E78CB" w14:textId="77777777" w:rsidR="00B17961" w:rsidRDefault="00B17961" w:rsidP="00B17961">
            <w:pPr>
              <w:pStyle w:val="ListParagraph"/>
              <w:spacing w:before="60" w:after="60"/>
              <w:ind w:left="360"/>
              <w:rPr>
                <w:rFonts w:ascii="Arial" w:hAnsi="Arial" w:cs="Arial"/>
                <w:sz w:val="20"/>
                <w:szCs w:val="20"/>
              </w:rPr>
            </w:pPr>
          </w:p>
          <w:p w14:paraId="564CC7B4" w14:textId="77777777" w:rsidR="00B17961" w:rsidRPr="0044617F" w:rsidRDefault="00B17961" w:rsidP="00B17961">
            <w:pPr>
              <w:pStyle w:val="ListParagraph"/>
              <w:spacing w:before="60" w:after="60"/>
              <w:ind w:left="360"/>
              <w:rPr>
                <w:rFonts w:ascii="Arial" w:hAnsi="Arial" w:cs="Arial"/>
                <w:sz w:val="20"/>
                <w:szCs w:val="20"/>
              </w:rPr>
            </w:pPr>
            <w:r>
              <w:rPr>
                <w:rFonts w:ascii="Arial" w:hAnsi="Arial" w:cs="Arial"/>
                <w:sz w:val="20"/>
                <w:szCs w:val="20"/>
              </w:rPr>
              <w:t>The same as 2018/19</w:t>
            </w:r>
          </w:p>
        </w:tc>
      </w:tr>
      <w:tr w:rsidR="00B17961" w:rsidRPr="00C004AF" w14:paraId="5DE4181D" w14:textId="77777777" w:rsidTr="00B17961">
        <w:trPr>
          <w:cantSplit/>
        </w:trPr>
        <w:tc>
          <w:tcPr>
            <w:tcW w:w="675" w:type="dxa"/>
          </w:tcPr>
          <w:p w14:paraId="505F7D93"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13</w:t>
            </w:r>
          </w:p>
        </w:tc>
        <w:tc>
          <w:tcPr>
            <w:tcW w:w="3289" w:type="dxa"/>
          </w:tcPr>
          <w:p w14:paraId="7A614452" w14:textId="77777777" w:rsidR="00B17961" w:rsidRPr="005F71C5" w:rsidRDefault="00B17961" w:rsidP="00B17961">
            <w:pPr>
              <w:tabs>
                <w:tab w:val="left" w:pos="1147"/>
              </w:tabs>
              <w:spacing w:before="60" w:after="60"/>
              <w:rPr>
                <w:rFonts w:ascii="Arial" w:hAnsi="Arial" w:cs="Arial"/>
                <w:sz w:val="20"/>
                <w:szCs w:val="20"/>
                <w:u w:val="single"/>
              </w:rPr>
            </w:pPr>
            <w:r w:rsidRPr="005F71C5">
              <w:rPr>
                <w:rFonts w:ascii="Arial" w:hAnsi="Arial" w:cs="Arial"/>
                <w:sz w:val="20"/>
                <w:szCs w:val="20"/>
                <w:u w:val="single"/>
              </w:rPr>
              <w:t>Attainment and progress of SEND pupils</w:t>
            </w:r>
          </w:p>
          <w:p w14:paraId="0086E86B" w14:textId="77777777" w:rsidR="00B17961" w:rsidRPr="005F71C5" w:rsidRDefault="00B17961" w:rsidP="00A51784">
            <w:pPr>
              <w:pStyle w:val="ListParagraph"/>
              <w:numPr>
                <w:ilvl w:val="0"/>
                <w:numId w:val="10"/>
              </w:numPr>
              <w:tabs>
                <w:tab w:val="left" w:pos="1147"/>
              </w:tabs>
              <w:spacing w:before="60" w:after="60"/>
              <w:rPr>
                <w:rFonts w:ascii="Arial" w:hAnsi="Arial" w:cs="Arial"/>
                <w:sz w:val="20"/>
                <w:szCs w:val="20"/>
              </w:rPr>
            </w:pPr>
            <w:r w:rsidRPr="005F71C5">
              <w:rPr>
                <w:rFonts w:ascii="Arial" w:hAnsi="Arial" w:cs="Arial"/>
                <w:sz w:val="20"/>
                <w:szCs w:val="20"/>
              </w:rPr>
              <w:t xml:space="preserve">The percentage </w:t>
            </w:r>
            <w:proofErr w:type="gramStart"/>
            <w:r w:rsidRPr="005F71C5">
              <w:rPr>
                <w:rFonts w:ascii="Arial" w:hAnsi="Arial" w:cs="Arial"/>
                <w:sz w:val="20"/>
                <w:szCs w:val="20"/>
              </w:rPr>
              <w:t>of  SEND</w:t>
            </w:r>
            <w:proofErr w:type="gramEnd"/>
            <w:r w:rsidRPr="005F71C5">
              <w:rPr>
                <w:rFonts w:ascii="Arial" w:hAnsi="Arial" w:cs="Arial"/>
                <w:sz w:val="20"/>
                <w:szCs w:val="20"/>
              </w:rPr>
              <w:t xml:space="preserve"> pupils with an EHCP attaining the ‘expected standard’ in each of:</w:t>
            </w:r>
          </w:p>
          <w:p w14:paraId="528EF044" w14:textId="77777777" w:rsidR="00B17961" w:rsidRPr="005F71C5" w:rsidRDefault="00B17961" w:rsidP="00A51784">
            <w:pPr>
              <w:pStyle w:val="ListParagraph"/>
              <w:numPr>
                <w:ilvl w:val="0"/>
                <w:numId w:val="9"/>
              </w:numPr>
              <w:tabs>
                <w:tab w:val="left" w:pos="1147"/>
              </w:tabs>
              <w:spacing w:before="60" w:after="60"/>
              <w:rPr>
                <w:rFonts w:ascii="Arial" w:hAnsi="Arial" w:cs="Arial"/>
                <w:sz w:val="20"/>
                <w:szCs w:val="20"/>
              </w:rPr>
            </w:pPr>
            <w:r w:rsidRPr="005F71C5">
              <w:rPr>
                <w:rFonts w:ascii="Arial" w:hAnsi="Arial" w:cs="Arial"/>
                <w:sz w:val="20"/>
                <w:szCs w:val="20"/>
              </w:rPr>
              <w:t>English Reading</w:t>
            </w:r>
          </w:p>
          <w:p w14:paraId="50A43EAA" w14:textId="77777777" w:rsidR="00B17961" w:rsidRPr="005F71C5" w:rsidRDefault="00B17961" w:rsidP="00A51784">
            <w:pPr>
              <w:pStyle w:val="ListParagraph"/>
              <w:numPr>
                <w:ilvl w:val="0"/>
                <w:numId w:val="9"/>
              </w:numPr>
              <w:tabs>
                <w:tab w:val="left" w:pos="1147"/>
              </w:tabs>
              <w:spacing w:before="60" w:after="60"/>
              <w:rPr>
                <w:rFonts w:ascii="Arial" w:hAnsi="Arial" w:cs="Arial"/>
                <w:sz w:val="20"/>
                <w:szCs w:val="20"/>
              </w:rPr>
            </w:pPr>
            <w:r w:rsidRPr="005F71C5">
              <w:rPr>
                <w:rFonts w:ascii="Arial" w:hAnsi="Arial" w:cs="Arial"/>
                <w:sz w:val="20"/>
                <w:szCs w:val="20"/>
              </w:rPr>
              <w:t>English Writing and</w:t>
            </w:r>
          </w:p>
          <w:p w14:paraId="4804DC85" w14:textId="77777777" w:rsidR="00B17961" w:rsidRPr="005F71C5" w:rsidRDefault="00B17961" w:rsidP="00A51784">
            <w:pPr>
              <w:pStyle w:val="ListParagraph"/>
              <w:numPr>
                <w:ilvl w:val="0"/>
                <w:numId w:val="9"/>
              </w:numPr>
              <w:tabs>
                <w:tab w:val="left" w:pos="1147"/>
              </w:tabs>
              <w:spacing w:before="60" w:after="60"/>
              <w:rPr>
                <w:rFonts w:ascii="Arial" w:hAnsi="Arial" w:cs="Arial"/>
                <w:sz w:val="20"/>
                <w:szCs w:val="20"/>
              </w:rPr>
            </w:pPr>
            <w:r w:rsidRPr="005F71C5">
              <w:rPr>
                <w:rFonts w:ascii="Arial" w:hAnsi="Arial" w:cs="Arial"/>
                <w:sz w:val="20"/>
                <w:szCs w:val="20"/>
              </w:rPr>
              <w:t>Mathematics</w:t>
            </w:r>
          </w:p>
          <w:p w14:paraId="7D8CAF35"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at the end of Key Stage 2</w:t>
            </w:r>
          </w:p>
          <w:p w14:paraId="192A7CBE" w14:textId="77777777" w:rsidR="00B17961" w:rsidRPr="005F71C5" w:rsidRDefault="00B17961" w:rsidP="00B17961">
            <w:pPr>
              <w:tabs>
                <w:tab w:val="left" w:pos="1147"/>
              </w:tabs>
              <w:spacing w:before="60" w:after="60"/>
              <w:rPr>
                <w:rFonts w:ascii="Arial" w:hAnsi="Arial" w:cs="Arial"/>
                <w:sz w:val="20"/>
                <w:szCs w:val="20"/>
              </w:rPr>
            </w:pPr>
            <w:r w:rsidRPr="005F71C5">
              <w:rPr>
                <w:rFonts w:ascii="Arial" w:hAnsi="Arial" w:cs="Arial"/>
                <w:sz w:val="20"/>
                <w:szCs w:val="20"/>
              </w:rPr>
              <w:t>and the gap between Barnet SEN support pupils achieving the expected standard in RWM combined and for all pupils nationally.</w:t>
            </w:r>
          </w:p>
          <w:p w14:paraId="0E003B80" w14:textId="77777777" w:rsidR="00B17961" w:rsidRPr="005F71C5" w:rsidRDefault="00B17961" w:rsidP="00B17961">
            <w:pPr>
              <w:tabs>
                <w:tab w:val="left" w:pos="1147"/>
              </w:tabs>
              <w:spacing w:before="60" w:after="60"/>
              <w:rPr>
                <w:rFonts w:ascii="Arial" w:hAnsi="Arial" w:cs="Arial"/>
                <w:sz w:val="20"/>
                <w:szCs w:val="20"/>
              </w:rPr>
            </w:pPr>
            <w:proofErr w:type="gramStart"/>
            <w:r w:rsidRPr="005F71C5">
              <w:rPr>
                <w:rFonts w:ascii="Arial" w:hAnsi="Arial" w:cs="Arial"/>
                <w:sz w:val="20"/>
                <w:szCs w:val="20"/>
              </w:rPr>
              <w:t>b  Average</w:t>
            </w:r>
            <w:proofErr w:type="gramEnd"/>
            <w:r w:rsidRPr="005F71C5">
              <w:rPr>
                <w:rFonts w:ascii="Arial" w:hAnsi="Arial" w:cs="Arial"/>
                <w:sz w:val="20"/>
                <w:szCs w:val="20"/>
              </w:rPr>
              <w:t xml:space="preserve"> attainment 8 score pupils with a statement of SEN or EHCP</w:t>
            </w:r>
          </w:p>
          <w:p w14:paraId="39F75300" w14:textId="77777777" w:rsidR="00B17961" w:rsidRPr="005F71C5" w:rsidRDefault="00B17961" w:rsidP="00B17961">
            <w:pPr>
              <w:tabs>
                <w:tab w:val="left" w:pos="1147"/>
              </w:tabs>
              <w:spacing w:before="60" w:after="60"/>
              <w:rPr>
                <w:rFonts w:ascii="Arial" w:hAnsi="Arial" w:cs="Arial"/>
                <w:sz w:val="20"/>
                <w:szCs w:val="20"/>
              </w:rPr>
            </w:pPr>
            <w:proofErr w:type="gramStart"/>
            <w:r w:rsidRPr="005F71C5">
              <w:rPr>
                <w:rFonts w:ascii="Arial" w:hAnsi="Arial" w:cs="Arial"/>
                <w:sz w:val="20"/>
                <w:szCs w:val="20"/>
              </w:rPr>
              <w:t>c  Average</w:t>
            </w:r>
            <w:proofErr w:type="gramEnd"/>
            <w:r w:rsidRPr="005F71C5">
              <w:rPr>
                <w:rFonts w:ascii="Arial" w:hAnsi="Arial" w:cs="Arial"/>
                <w:sz w:val="20"/>
                <w:szCs w:val="20"/>
              </w:rPr>
              <w:t xml:space="preserve"> progress 8 score pupils with a statement of SEN or EHCP</w:t>
            </w:r>
          </w:p>
        </w:tc>
        <w:tc>
          <w:tcPr>
            <w:tcW w:w="1843" w:type="dxa"/>
          </w:tcPr>
          <w:p w14:paraId="6037F500" w14:textId="77777777" w:rsidR="00B17961" w:rsidRPr="005F71C5" w:rsidRDefault="00B17961" w:rsidP="00B17961">
            <w:pPr>
              <w:spacing w:before="60" w:after="60"/>
              <w:jc w:val="center"/>
              <w:rPr>
                <w:rFonts w:ascii="Arial" w:hAnsi="Arial" w:cs="Arial"/>
                <w:sz w:val="20"/>
                <w:szCs w:val="20"/>
              </w:rPr>
            </w:pPr>
          </w:p>
          <w:p w14:paraId="5DBEDE36" w14:textId="77777777" w:rsidR="00B17961" w:rsidRPr="005F71C5" w:rsidRDefault="00B17961" w:rsidP="00B17961">
            <w:pPr>
              <w:spacing w:before="60" w:after="60"/>
              <w:jc w:val="center"/>
              <w:rPr>
                <w:rFonts w:ascii="Arial" w:hAnsi="Arial" w:cs="Arial"/>
                <w:sz w:val="20"/>
                <w:szCs w:val="20"/>
              </w:rPr>
            </w:pPr>
          </w:p>
          <w:p w14:paraId="7E5F95F4" w14:textId="77777777" w:rsidR="00B17961" w:rsidRPr="005F71C5" w:rsidRDefault="00B17961" w:rsidP="00B17961">
            <w:pPr>
              <w:spacing w:before="60" w:after="60"/>
              <w:jc w:val="center"/>
              <w:rPr>
                <w:rFonts w:ascii="Arial" w:hAnsi="Arial" w:cs="Arial"/>
                <w:sz w:val="20"/>
                <w:szCs w:val="20"/>
              </w:rPr>
            </w:pPr>
          </w:p>
          <w:p w14:paraId="3408B7C3" w14:textId="77777777" w:rsidR="00B17961" w:rsidRPr="005F71C5" w:rsidRDefault="00B17961" w:rsidP="00B17961">
            <w:pPr>
              <w:spacing w:before="60" w:after="60"/>
              <w:jc w:val="center"/>
              <w:rPr>
                <w:rFonts w:ascii="Arial" w:hAnsi="Arial" w:cs="Arial"/>
                <w:sz w:val="20"/>
                <w:szCs w:val="20"/>
              </w:rPr>
            </w:pPr>
          </w:p>
          <w:p w14:paraId="4D7E9313" w14:textId="77777777" w:rsidR="00B17961" w:rsidRPr="005F71C5" w:rsidRDefault="00B17961" w:rsidP="00B17961">
            <w:pPr>
              <w:spacing w:before="60" w:after="60"/>
              <w:jc w:val="center"/>
              <w:rPr>
                <w:rFonts w:ascii="Arial" w:hAnsi="Arial" w:cs="Arial"/>
                <w:sz w:val="20"/>
                <w:szCs w:val="20"/>
              </w:rPr>
            </w:pPr>
          </w:p>
          <w:p w14:paraId="0BDD1493" w14:textId="77777777" w:rsidR="00B17961" w:rsidRPr="005F71C5" w:rsidRDefault="00B17961" w:rsidP="00B17961">
            <w:pPr>
              <w:spacing w:before="60" w:after="60"/>
              <w:jc w:val="center"/>
              <w:rPr>
                <w:rFonts w:ascii="Arial" w:hAnsi="Arial" w:cs="Arial"/>
                <w:sz w:val="20"/>
                <w:szCs w:val="20"/>
              </w:rPr>
            </w:pPr>
          </w:p>
          <w:p w14:paraId="3B6B089F"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16% (7</w:t>
            </w:r>
            <w:r w:rsidRPr="005F71C5">
              <w:rPr>
                <w:rFonts w:ascii="Arial" w:hAnsi="Arial" w:cs="Arial"/>
                <w:sz w:val="20"/>
                <w:szCs w:val="20"/>
                <w:vertAlign w:val="superscript"/>
              </w:rPr>
              <w:t>th</w:t>
            </w:r>
            <w:r w:rsidRPr="005F71C5">
              <w:rPr>
                <w:rFonts w:ascii="Arial" w:hAnsi="Arial" w:cs="Arial"/>
                <w:sz w:val="20"/>
                <w:szCs w:val="20"/>
              </w:rPr>
              <w:t>)</w:t>
            </w:r>
          </w:p>
          <w:p w14:paraId="14367E9A" w14:textId="77777777" w:rsidR="00B17961" w:rsidRPr="005F71C5" w:rsidRDefault="00B17961" w:rsidP="00B17961">
            <w:pPr>
              <w:spacing w:before="60" w:after="60"/>
              <w:jc w:val="center"/>
              <w:rPr>
                <w:rFonts w:ascii="Arial" w:hAnsi="Arial" w:cs="Arial"/>
                <w:sz w:val="20"/>
                <w:szCs w:val="20"/>
              </w:rPr>
            </w:pPr>
          </w:p>
          <w:p w14:paraId="09A38E53" w14:textId="77777777" w:rsidR="00B17961" w:rsidRPr="005F71C5" w:rsidRDefault="00B17961" w:rsidP="00B17961">
            <w:pPr>
              <w:spacing w:before="60" w:after="60"/>
              <w:jc w:val="center"/>
              <w:rPr>
                <w:rFonts w:ascii="Arial" w:hAnsi="Arial" w:cs="Arial"/>
                <w:sz w:val="20"/>
                <w:szCs w:val="20"/>
              </w:rPr>
            </w:pPr>
          </w:p>
          <w:p w14:paraId="6297B85A"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-23pp (</w:t>
            </w:r>
            <w:r w:rsidRPr="005F71C5">
              <w:rPr>
                <w:rFonts w:ascii="Arial" w:hAnsi="Arial" w:cs="Arial"/>
                <w:sz w:val="20"/>
                <w:szCs w:val="20"/>
              </w:rPr>
              <w:t>Barnet SEN support 41%</w:t>
            </w:r>
          </w:p>
          <w:p w14:paraId="7188495B"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National all pupils 64%</w:t>
            </w:r>
            <w:r>
              <w:rPr>
                <w:rFonts w:ascii="Arial" w:hAnsi="Arial" w:cs="Arial"/>
                <w:sz w:val="20"/>
                <w:szCs w:val="20"/>
              </w:rPr>
              <w:t>) (1</w:t>
            </w:r>
            <w:r w:rsidRPr="00125E40">
              <w:rPr>
                <w:rFonts w:ascii="Arial" w:hAnsi="Arial" w:cs="Arial"/>
                <w:sz w:val="20"/>
                <w:szCs w:val="20"/>
                <w:vertAlign w:val="superscript"/>
              </w:rPr>
              <w:t>st</w:t>
            </w:r>
            <w:r>
              <w:rPr>
                <w:rFonts w:ascii="Arial" w:hAnsi="Arial" w:cs="Arial"/>
                <w:sz w:val="20"/>
                <w:szCs w:val="20"/>
              </w:rPr>
              <w:t>)</w:t>
            </w:r>
          </w:p>
          <w:p w14:paraId="14732125" w14:textId="77777777" w:rsidR="00B17961" w:rsidRPr="005F71C5" w:rsidRDefault="00B17961" w:rsidP="00B17961">
            <w:pPr>
              <w:spacing w:before="60" w:after="60"/>
              <w:jc w:val="center"/>
              <w:rPr>
                <w:rFonts w:ascii="Arial" w:hAnsi="Arial" w:cs="Arial"/>
                <w:sz w:val="20"/>
                <w:szCs w:val="20"/>
              </w:rPr>
            </w:pPr>
          </w:p>
          <w:p w14:paraId="1FCB504D"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19.5 (11</w:t>
            </w:r>
            <w:r w:rsidRPr="005F71C5">
              <w:rPr>
                <w:rFonts w:ascii="Arial" w:hAnsi="Arial" w:cs="Arial"/>
                <w:sz w:val="20"/>
                <w:szCs w:val="20"/>
                <w:vertAlign w:val="superscript"/>
              </w:rPr>
              <w:t>th</w:t>
            </w:r>
            <w:r w:rsidRPr="005F71C5">
              <w:rPr>
                <w:rFonts w:ascii="Arial" w:hAnsi="Arial" w:cs="Arial"/>
                <w:sz w:val="20"/>
                <w:szCs w:val="20"/>
              </w:rPr>
              <w:t>)</w:t>
            </w:r>
          </w:p>
          <w:p w14:paraId="55D454DE" w14:textId="77777777" w:rsidR="00B17961" w:rsidRPr="005F71C5" w:rsidRDefault="00B17961" w:rsidP="00B17961">
            <w:pPr>
              <w:spacing w:before="60" w:after="60"/>
              <w:jc w:val="center"/>
              <w:rPr>
                <w:rFonts w:ascii="Arial" w:hAnsi="Arial" w:cs="Arial"/>
                <w:sz w:val="20"/>
                <w:szCs w:val="20"/>
              </w:rPr>
            </w:pPr>
          </w:p>
          <w:p w14:paraId="4DC899A5"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-0.67 (11</w:t>
            </w:r>
            <w:r w:rsidRPr="005F71C5">
              <w:rPr>
                <w:rFonts w:ascii="Arial" w:hAnsi="Arial" w:cs="Arial"/>
                <w:sz w:val="20"/>
                <w:szCs w:val="20"/>
                <w:vertAlign w:val="superscript"/>
              </w:rPr>
              <w:t>th)</w:t>
            </w:r>
            <w:r w:rsidRPr="005F71C5">
              <w:rPr>
                <w:rFonts w:ascii="Arial" w:hAnsi="Arial" w:cs="Arial"/>
                <w:sz w:val="20"/>
                <w:szCs w:val="20"/>
              </w:rPr>
              <w:t xml:space="preserve"> </w:t>
            </w:r>
          </w:p>
        </w:tc>
        <w:tc>
          <w:tcPr>
            <w:tcW w:w="1701" w:type="dxa"/>
          </w:tcPr>
          <w:p w14:paraId="23BB3658" w14:textId="77777777" w:rsidR="00B17961" w:rsidRPr="005F71C5" w:rsidRDefault="00B17961" w:rsidP="00B17961">
            <w:pPr>
              <w:spacing w:before="60" w:after="60"/>
              <w:jc w:val="center"/>
              <w:rPr>
                <w:rFonts w:ascii="Arial" w:hAnsi="Arial" w:cs="Arial"/>
                <w:sz w:val="20"/>
                <w:szCs w:val="20"/>
              </w:rPr>
            </w:pPr>
            <w:r w:rsidRPr="0044617F">
              <w:rPr>
                <w:rFonts w:ascii="Arial" w:hAnsi="Arial" w:cs="Arial"/>
                <w:sz w:val="20"/>
                <w:szCs w:val="20"/>
              </w:rPr>
              <w:t>Top quartile</w:t>
            </w:r>
          </w:p>
        </w:tc>
        <w:tc>
          <w:tcPr>
            <w:tcW w:w="1701" w:type="dxa"/>
          </w:tcPr>
          <w:p w14:paraId="60209AEB"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Top quartile</w:t>
            </w:r>
          </w:p>
        </w:tc>
      </w:tr>
      <w:tr w:rsidR="00B17961" w:rsidRPr="00C004AF" w14:paraId="172288A3" w14:textId="77777777" w:rsidTr="00B17961">
        <w:trPr>
          <w:cantSplit/>
        </w:trPr>
        <w:tc>
          <w:tcPr>
            <w:tcW w:w="675" w:type="dxa"/>
          </w:tcPr>
          <w:p w14:paraId="127DFC36" w14:textId="77777777" w:rsidR="00B17961" w:rsidRPr="005F71C5" w:rsidRDefault="00B17961" w:rsidP="00B17961">
            <w:pPr>
              <w:spacing w:before="60" w:after="60"/>
              <w:rPr>
                <w:rFonts w:ascii="Arial" w:hAnsi="Arial" w:cs="Arial"/>
                <w:sz w:val="20"/>
                <w:szCs w:val="20"/>
              </w:rPr>
            </w:pPr>
            <w:r>
              <w:rPr>
                <w:rFonts w:ascii="Arial" w:hAnsi="Arial" w:cs="Arial"/>
                <w:sz w:val="20"/>
                <w:szCs w:val="20"/>
              </w:rPr>
              <w:t>14</w:t>
            </w:r>
          </w:p>
        </w:tc>
        <w:tc>
          <w:tcPr>
            <w:tcW w:w="3289" w:type="dxa"/>
          </w:tcPr>
          <w:p w14:paraId="064157C5" w14:textId="77777777" w:rsidR="00B17961" w:rsidRPr="005F71C5" w:rsidRDefault="00B17961" w:rsidP="00B17961">
            <w:pPr>
              <w:spacing w:before="60" w:after="60"/>
              <w:rPr>
                <w:rFonts w:ascii="Arial" w:hAnsi="Arial" w:cs="Arial"/>
                <w:sz w:val="20"/>
                <w:szCs w:val="20"/>
                <w:u w:val="single"/>
              </w:rPr>
            </w:pPr>
            <w:r w:rsidRPr="005F71C5">
              <w:rPr>
                <w:rFonts w:ascii="Arial" w:hAnsi="Arial" w:cs="Arial"/>
                <w:sz w:val="20"/>
                <w:szCs w:val="20"/>
                <w:u w:val="single"/>
              </w:rPr>
              <w:t>NEETS:</w:t>
            </w:r>
          </w:p>
          <w:p w14:paraId="13D0E43B" w14:textId="77777777" w:rsidR="00B17961" w:rsidRPr="005F71C5" w:rsidRDefault="00B17961" w:rsidP="00B17961">
            <w:pPr>
              <w:spacing w:before="60" w:after="60"/>
              <w:rPr>
                <w:rFonts w:ascii="Arial" w:hAnsi="Arial" w:cs="Arial"/>
                <w:sz w:val="20"/>
                <w:szCs w:val="20"/>
              </w:rPr>
            </w:pPr>
            <w:r w:rsidRPr="005F71C5">
              <w:rPr>
                <w:rFonts w:ascii="Arial" w:hAnsi="Arial" w:cs="Arial"/>
                <w:sz w:val="20"/>
                <w:szCs w:val="20"/>
              </w:rPr>
              <w:t xml:space="preserve">a   % not in education, employment or training (16 to </w:t>
            </w:r>
            <w:proofErr w:type="gramStart"/>
            <w:r w:rsidRPr="005F71C5">
              <w:rPr>
                <w:rFonts w:ascii="Arial" w:hAnsi="Arial" w:cs="Arial"/>
                <w:sz w:val="20"/>
                <w:szCs w:val="20"/>
              </w:rPr>
              <w:t>17 year</w:t>
            </w:r>
            <w:proofErr w:type="gramEnd"/>
            <w:r w:rsidRPr="005F71C5">
              <w:rPr>
                <w:rFonts w:ascii="Arial" w:hAnsi="Arial" w:cs="Arial"/>
                <w:sz w:val="20"/>
                <w:szCs w:val="20"/>
              </w:rPr>
              <w:t xml:space="preserve"> olds) </w:t>
            </w:r>
          </w:p>
          <w:p w14:paraId="4FD05FBC" w14:textId="77777777" w:rsidR="00B17961" w:rsidRPr="005F71C5" w:rsidRDefault="00B17961" w:rsidP="00B17961">
            <w:pPr>
              <w:spacing w:before="60" w:after="60"/>
              <w:rPr>
                <w:rFonts w:ascii="Arial" w:hAnsi="Arial" w:cs="Arial"/>
                <w:sz w:val="20"/>
                <w:szCs w:val="20"/>
              </w:rPr>
            </w:pPr>
            <w:proofErr w:type="gramStart"/>
            <w:r w:rsidRPr="005F71C5">
              <w:rPr>
                <w:rFonts w:ascii="Arial" w:hAnsi="Arial" w:cs="Arial"/>
                <w:sz w:val="20"/>
                <w:szCs w:val="20"/>
              </w:rPr>
              <w:t>b  %</w:t>
            </w:r>
            <w:proofErr w:type="gramEnd"/>
            <w:r w:rsidRPr="005F71C5">
              <w:rPr>
                <w:rFonts w:ascii="Arial" w:hAnsi="Arial" w:cs="Arial"/>
                <w:sz w:val="20"/>
                <w:szCs w:val="20"/>
              </w:rPr>
              <w:t xml:space="preserve"> combined percentage of 16 to 17 year olds who are NEET and those whose current activity is not known to the LA</w:t>
            </w:r>
          </w:p>
        </w:tc>
        <w:tc>
          <w:tcPr>
            <w:tcW w:w="1843" w:type="dxa"/>
          </w:tcPr>
          <w:p w14:paraId="07F580E6" w14:textId="77777777" w:rsidR="00B17961" w:rsidRPr="005F71C5" w:rsidRDefault="00B17961" w:rsidP="00B17961">
            <w:pPr>
              <w:spacing w:before="60" w:after="60"/>
              <w:jc w:val="center"/>
              <w:rPr>
                <w:rFonts w:ascii="Arial" w:hAnsi="Arial" w:cs="Arial"/>
                <w:sz w:val="20"/>
                <w:szCs w:val="20"/>
              </w:rPr>
            </w:pPr>
          </w:p>
          <w:p w14:paraId="705EA39C" w14:textId="77777777" w:rsidR="00B17961" w:rsidRPr="005F71C5" w:rsidRDefault="00B17961" w:rsidP="00B17961">
            <w:pPr>
              <w:spacing w:before="60" w:after="60"/>
              <w:jc w:val="center"/>
              <w:rPr>
                <w:rFonts w:ascii="Arial" w:hAnsi="Arial" w:cs="Arial"/>
                <w:sz w:val="20"/>
                <w:szCs w:val="20"/>
              </w:rPr>
            </w:pPr>
          </w:p>
          <w:p w14:paraId="79B79061"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1.8%</w:t>
            </w:r>
          </w:p>
          <w:p w14:paraId="122ACB0F"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(Jan to March ‘18)</w:t>
            </w:r>
          </w:p>
          <w:p w14:paraId="0EBCAEA2" w14:textId="77777777" w:rsidR="00B17961" w:rsidRPr="005F71C5" w:rsidRDefault="00B17961" w:rsidP="00B17961">
            <w:pPr>
              <w:spacing w:before="60" w:after="60"/>
              <w:jc w:val="center"/>
              <w:rPr>
                <w:rFonts w:ascii="Arial" w:hAnsi="Arial" w:cs="Arial"/>
                <w:sz w:val="20"/>
                <w:szCs w:val="20"/>
              </w:rPr>
            </w:pPr>
          </w:p>
          <w:p w14:paraId="77842875"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3.0%</w:t>
            </w:r>
          </w:p>
          <w:p w14:paraId="241105C5" w14:textId="77777777" w:rsidR="00B17961" w:rsidRPr="005F71C5" w:rsidRDefault="00B17961" w:rsidP="00B17961">
            <w:pPr>
              <w:spacing w:before="60" w:after="60"/>
              <w:jc w:val="center"/>
              <w:rPr>
                <w:rFonts w:ascii="Arial" w:hAnsi="Arial" w:cs="Arial"/>
                <w:sz w:val="20"/>
                <w:szCs w:val="20"/>
              </w:rPr>
            </w:pPr>
            <w:r w:rsidRPr="005F71C5">
              <w:rPr>
                <w:rFonts w:ascii="Arial" w:hAnsi="Arial" w:cs="Arial"/>
                <w:sz w:val="20"/>
                <w:szCs w:val="20"/>
              </w:rPr>
              <w:t>(Jan to March ‘18)</w:t>
            </w:r>
          </w:p>
        </w:tc>
        <w:tc>
          <w:tcPr>
            <w:tcW w:w="1701" w:type="dxa"/>
          </w:tcPr>
          <w:p w14:paraId="3C171462" w14:textId="77777777" w:rsidR="00B17961" w:rsidRDefault="00B17961" w:rsidP="00B17961">
            <w:pPr>
              <w:spacing w:before="60" w:after="60"/>
              <w:jc w:val="center"/>
              <w:rPr>
                <w:rFonts w:ascii="Arial" w:hAnsi="Arial" w:cs="Arial"/>
                <w:sz w:val="20"/>
                <w:szCs w:val="20"/>
              </w:rPr>
            </w:pPr>
          </w:p>
          <w:p w14:paraId="5C75C7D2" w14:textId="77777777" w:rsidR="00B17961" w:rsidRDefault="00B17961" w:rsidP="00B17961">
            <w:pPr>
              <w:spacing w:before="60" w:after="60"/>
              <w:jc w:val="center"/>
              <w:rPr>
                <w:rFonts w:ascii="Arial" w:hAnsi="Arial" w:cs="Arial"/>
                <w:sz w:val="20"/>
                <w:szCs w:val="20"/>
              </w:rPr>
            </w:pPr>
            <w:r w:rsidRPr="00E14019">
              <w:rPr>
                <w:rFonts w:ascii="Arial" w:hAnsi="Arial" w:cs="Arial"/>
                <w:sz w:val="20"/>
                <w:szCs w:val="20"/>
              </w:rPr>
              <w:t>1.7% or London Top Quartile, whichever is higher</w:t>
            </w:r>
          </w:p>
          <w:p w14:paraId="2D7FA36C"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3</w:t>
            </w:r>
            <w:r w:rsidRPr="00E14019">
              <w:rPr>
                <w:rFonts w:ascii="Arial" w:hAnsi="Arial" w:cs="Arial"/>
                <w:sz w:val="20"/>
                <w:szCs w:val="20"/>
              </w:rPr>
              <w:t>.</w:t>
            </w:r>
            <w:r>
              <w:rPr>
                <w:rFonts w:ascii="Arial" w:hAnsi="Arial" w:cs="Arial"/>
                <w:sz w:val="20"/>
                <w:szCs w:val="20"/>
              </w:rPr>
              <w:t>0</w:t>
            </w:r>
            <w:r w:rsidRPr="00E14019">
              <w:rPr>
                <w:rFonts w:ascii="Arial" w:hAnsi="Arial" w:cs="Arial"/>
                <w:sz w:val="20"/>
                <w:szCs w:val="20"/>
              </w:rPr>
              <w:t>% or London Top Quartile, whichever is higher</w:t>
            </w:r>
          </w:p>
        </w:tc>
        <w:tc>
          <w:tcPr>
            <w:tcW w:w="1701" w:type="dxa"/>
          </w:tcPr>
          <w:p w14:paraId="14AD41CD" w14:textId="77777777" w:rsidR="00B17961" w:rsidRDefault="00B17961" w:rsidP="00B17961">
            <w:pPr>
              <w:spacing w:before="60" w:after="60"/>
              <w:jc w:val="center"/>
              <w:rPr>
                <w:rFonts w:ascii="Arial" w:hAnsi="Arial" w:cs="Arial"/>
                <w:sz w:val="20"/>
                <w:szCs w:val="20"/>
              </w:rPr>
            </w:pPr>
          </w:p>
          <w:p w14:paraId="55C20799" w14:textId="77777777" w:rsidR="00B17961" w:rsidRDefault="00B17961" w:rsidP="00B17961">
            <w:pPr>
              <w:spacing w:before="60" w:after="60"/>
              <w:jc w:val="center"/>
              <w:rPr>
                <w:rFonts w:ascii="Arial" w:hAnsi="Arial" w:cs="Arial"/>
                <w:sz w:val="20"/>
                <w:szCs w:val="20"/>
              </w:rPr>
            </w:pPr>
            <w:r>
              <w:rPr>
                <w:rFonts w:ascii="Arial" w:hAnsi="Arial" w:cs="Arial"/>
                <w:sz w:val="20"/>
                <w:szCs w:val="20"/>
              </w:rPr>
              <w:t>1</w:t>
            </w:r>
            <w:r w:rsidRPr="00E14019">
              <w:rPr>
                <w:rFonts w:ascii="Arial" w:hAnsi="Arial" w:cs="Arial"/>
                <w:sz w:val="20"/>
                <w:szCs w:val="20"/>
              </w:rPr>
              <w:t>.7% or London Top Quartile, whichever is higher</w:t>
            </w:r>
          </w:p>
          <w:p w14:paraId="0FAA6648" w14:textId="77777777" w:rsidR="00B17961" w:rsidRPr="005F71C5" w:rsidRDefault="00B17961" w:rsidP="00B17961">
            <w:pPr>
              <w:spacing w:before="60" w:after="60"/>
              <w:jc w:val="center"/>
              <w:rPr>
                <w:rFonts w:ascii="Arial" w:hAnsi="Arial" w:cs="Arial"/>
                <w:sz w:val="20"/>
                <w:szCs w:val="20"/>
              </w:rPr>
            </w:pPr>
            <w:r>
              <w:rPr>
                <w:rFonts w:ascii="Arial" w:hAnsi="Arial" w:cs="Arial"/>
                <w:sz w:val="20"/>
                <w:szCs w:val="20"/>
              </w:rPr>
              <w:t>3</w:t>
            </w:r>
            <w:r w:rsidRPr="00E14019">
              <w:rPr>
                <w:rFonts w:ascii="Arial" w:hAnsi="Arial" w:cs="Arial"/>
                <w:sz w:val="20"/>
                <w:szCs w:val="20"/>
              </w:rPr>
              <w:t>.</w:t>
            </w:r>
            <w:r>
              <w:rPr>
                <w:rFonts w:ascii="Arial" w:hAnsi="Arial" w:cs="Arial"/>
                <w:sz w:val="20"/>
                <w:szCs w:val="20"/>
              </w:rPr>
              <w:t>0</w:t>
            </w:r>
            <w:r w:rsidRPr="00E14019">
              <w:rPr>
                <w:rFonts w:ascii="Arial" w:hAnsi="Arial" w:cs="Arial"/>
                <w:sz w:val="20"/>
                <w:szCs w:val="20"/>
              </w:rPr>
              <w:t>% or London Top Quartile, whichever is higher</w:t>
            </w:r>
          </w:p>
        </w:tc>
      </w:tr>
    </w:tbl>
    <w:p w14:paraId="22E09CB3" w14:textId="77777777" w:rsidR="00733121" w:rsidRDefault="00733121" w:rsidP="007854C0">
      <w:pPr>
        <w:spacing w:after="120" w:line="240" w:lineRule="auto"/>
        <w:jc w:val="right"/>
        <w:rPr>
          <w:rFonts w:ascii="Arial" w:hAnsi="Arial" w:cs="Arial"/>
          <w:b/>
        </w:rPr>
      </w:pPr>
    </w:p>
    <w:p w14:paraId="7189FDA7" w14:textId="4DD1A4EC" w:rsidR="007854C0" w:rsidRDefault="00733121" w:rsidP="003C4A2E">
      <w:pPr>
        <w:jc w:val="right"/>
        <w:rPr>
          <w:rFonts w:ascii="Arial" w:hAnsi="Arial" w:cs="Arial"/>
          <w:b/>
        </w:rPr>
      </w:pPr>
      <w:r>
        <w:rPr>
          <w:rFonts w:ascii="Arial" w:hAnsi="Arial" w:cs="Arial"/>
          <w:b/>
        </w:rPr>
        <w:br w:type="page"/>
      </w:r>
      <w:r w:rsidR="007854C0">
        <w:rPr>
          <w:rFonts w:ascii="Arial" w:hAnsi="Arial" w:cs="Arial"/>
          <w:b/>
        </w:rPr>
        <w:t>Appendix 2</w:t>
      </w:r>
    </w:p>
    <w:p w14:paraId="55D4D532" w14:textId="77777777" w:rsidR="007854C0" w:rsidRPr="007854C0" w:rsidRDefault="007854C0" w:rsidP="0037531D">
      <w:pPr>
        <w:spacing w:after="120" w:line="240" w:lineRule="auto"/>
        <w:jc w:val="center"/>
        <w:rPr>
          <w:rFonts w:ascii="Arial" w:hAnsi="Arial" w:cs="Arial"/>
          <w:b/>
        </w:rPr>
      </w:pPr>
      <w:r w:rsidRPr="007854C0">
        <w:rPr>
          <w:rFonts w:ascii="Arial" w:hAnsi="Arial" w:cs="Arial"/>
          <w:b/>
        </w:rPr>
        <w:t>Current performance</w:t>
      </w:r>
      <w:r>
        <w:rPr>
          <w:rFonts w:ascii="Arial" w:hAnsi="Arial" w:cs="Arial"/>
          <w:b/>
        </w:rPr>
        <w:t xml:space="preserve"> and context</w:t>
      </w:r>
    </w:p>
    <w:p w14:paraId="6103BDCC" w14:textId="77777777" w:rsidR="002E2AE4" w:rsidRPr="007854C0" w:rsidRDefault="002E2AE4" w:rsidP="0037531D">
      <w:pPr>
        <w:spacing w:after="120" w:line="240" w:lineRule="auto"/>
        <w:rPr>
          <w:rFonts w:ascii="Arial" w:hAnsi="Arial" w:cs="Arial"/>
          <w:b/>
        </w:rPr>
      </w:pPr>
      <w:r w:rsidRPr="007854C0">
        <w:rPr>
          <w:rFonts w:ascii="Arial" w:hAnsi="Arial" w:cs="Arial"/>
          <w:b/>
        </w:rPr>
        <w:t>School standards</w:t>
      </w:r>
    </w:p>
    <w:p w14:paraId="679524C2" w14:textId="77777777" w:rsidR="002E2AE4" w:rsidRPr="00BB1B9D" w:rsidRDefault="002E2AE4" w:rsidP="00A51784">
      <w:pPr>
        <w:pStyle w:val="ListParagraph"/>
        <w:numPr>
          <w:ilvl w:val="0"/>
          <w:numId w:val="4"/>
        </w:numPr>
        <w:spacing w:after="120" w:line="240" w:lineRule="auto"/>
        <w:ind w:left="357" w:hanging="357"/>
        <w:contextualSpacing w:val="0"/>
        <w:jc w:val="both"/>
        <w:rPr>
          <w:rFonts w:ascii="Arial" w:hAnsi="Arial" w:cs="Arial"/>
        </w:rPr>
      </w:pPr>
      <w:r>
        <w:rPr>
          <w:rFonts w:ascii="Arial" w:hAnsi="Arial" w:cs="Arial"/>
        </w:rPr>
        <w:t>In February 2019, 94.3% of all schools in Barnet are g</w:t>
      </w:r>
      <w:r w:rsidRPr="00BB1B9D">
        <w:rPr>
          <w:rFonts w:ascii="Arial" w:hAnsi="Arial" w:cs="Arial"/>
        </w:rPr>
        <w:t xml:space="preserve">ood </w:t>
      </w:r>
      <w:r>
        <w:rPr>
          <w:rFonts w:ascii="Arial" w:hAnsi="Arial" w:cs="Arial"/>
        </w:rPr>
        <w:t>or</w:t>
      </w:r>
      <w:r w:rsidRPr="00BB1B9D">
        <w:rPr>
          <w:rFonts w:ascii="Arial" w:hAnsi="Arial" w:cs="Arial"/>
        </w:rPr>
        <w:t xml:space="preserve"> </w:t>
      </w:r>
      <w:r>
        <w:rPr>
          <w:rFonts w:ascii="Arial" w:hAnsi="Arial" w:cs="Arial"/>
        </w:rPr>
        <w:t>o</w:t>
      </w:r>
      <w:r w:rsidRPr="00BB1B9D">
        <w:rPr>
          <w:rFonts w:ascii="Arial" w:hAnsi="Arial" w:cs="Arial"/>
        </w:rPr>
        <w:t>utstanding</w:t>
      </w:r>
      <w:r>
        <w:rPr>
          <w:rFonts w:ascii="Arial" w:hAnsi="Arial" w:cs="Arial"/>
        </w:rPr>
        <w:t xml:space="preserve">, which places Barnet </w:t>
      </w:r>
      <w:r w:rsidRPr="00BB1B9D">
        <w:rPr>
          <w:rFonts w:ascii="Arial" w:hAnsi="Arial" w:cs="Arial"/>
        </w:rPr>
        <w:t>in the top 10% of the country.</w:t>
      </w:r>
    </w:p>
    <w:p w14:paraId="5FB004A9" w14:textId="77777777" w:rsidR="002E2AE4" w:rsidRPr="00F92101" w:rsidRDefault="002E2AE4" w:rsidP="00A51784">
      <w:pPr>
        <w:pStyle w:val="ListParagraph"/>
        <w:numPr>
          <w:ilvl w:val="0"/>
          <w:numId w:val="4"/>
        </w:numPr>
        <w:spacing w:after="120" w:line="240" w:lineRule="auto"/>
        <w:contextualSpacing w:val="0"/>
        <w:jc w:val="both"/>
        <w:rPr>
          <w:rFonts w:ascii="Arial" w:hAnsi="Arial" w:cs="Arial"/>
        </w:rPr>
      </w:pPr>
      <w:r w:rsidRPr="00BB1B9D">
        <w:rPr>
          <w:rFonts w:ascii="Arial" w:hAnsi="Arial" w:cs="Arial"/>
        </w:rPr>
        <w:t>95.1% of Barnet pupils attend a Good or Outstanding school and</w:t>
      </w:r>
      <w:r>
        <w:rPr>
          <w:rFonts w:ascii="Arial" w:hAnsi="Arial" w:cs="Arial"/>
        </w:rPr>
        <w:t xml:space="preserve"> Barnet</w:t>
      </w:r>
      <w:r w:rsidRPr="00BB1B9D">
        <w:rPr>
          <w:rFonts w:ascii="Arial" w:hAnsi="Arial" w:cs="Arial"/>
        </w:rPr>
        <w:t xml:space="preserve"> is above National, Inner London and Outer London averages. The percentage of pupils attending a Good or Outstanding school is in the top 10% of the country.</w:t>
      </w:r>
    </w:p>
    <w:p w14:paraId="7EAFAD98" w14:textId="77777777" w:rsidR="00B678B4" w:rsidRPr="006017FB" w:rsidRDefault="00B678B4" w:rsidP="0037531D">
      <w:pPr>
        <w:spacing w:after="120" w:line="240" w:lineRule="auto"/>
        <w:rPr>
          <w:rFonts w:ascii="Arial" w:hAnsi="Arial" w:cs="Arial"/>
          <w:b/>
        </w:rPr>
      </w:pPr>
      <w:r w:rsidRPr="006017FB">
        <w:rPr>
          <w:rFonts w:ascii="Arial" w:hAnsi="Arial" w:cs="Arial"/>
          <w:b/>
        </w:rPr>
        <w:t xml:space="preserve">Attainment and </w:t>
      </w:r>
      <w:r w:rsidR="005558EC">
        <w:rPr>
          <w:rFonts w:ascii="Arial" w:hAnsi="Arial" w:cs="Arial"/>
          <w:b/>
        </w:rPr>
        <w:t>progress</w:t>
      </w:r>
    </w:p>
    <w:p w14:paraId="34A39722" w14:textId="77777777" w:rsidR="00B678B4" w:rsidRDefault="00B678B4" w:rsidP="00A51784">
      <w:pPr>
        <w:pStyle w:val="ListParagraph"/>
        <w:numPr>
          <w:ilvl w:val="0"/>
          <w:numId w:val="4"/>
        </w:numPr>
        <w:spacing w:after="120" w:line="240" w:lineRule="auto"/>
        <w:contextualSpacing w:val="0"/>
        <w:jc w:val="both"/>
        <w:rPr>
          <w:rFonts w:ascii="Arial" w:hAnsi="Arial" w:cs="Arial"/>
        </w:rPr>
      </w:pPr>
      <w:r w:rsidRPr="006017FB">
        <w:rPr>
          <w:rFonts w:ascii="Arial" w:hAnsi="Arial" w:cs="Arial"/>
        </w:rPr>
        <w:t>In 201</w:t>
      </w:r>
      <w:r>
        <w:rPr>
          <w:rFonts w:ascii="Arial" w:hAnsi="Arial" w:cs="Arial"/>
        </w:rPr>
        <w:t>8</w:t>
      </w:r>
      <w:r w:rsidRPr="006017FB">
        <w:rPr>
          <w:rFonts w:ascii="Arial" w:hAnsi="Arial" w:cs="Arial"/>
        </w:rPr>
        <w:t xml:space="preserve">, the proportion of </w:t>
      </w:r>
      <w:r w:rsidR="002E2AE4">
        <w:rPr>
          <w:rFonts w:ascii="Arial" w:hAnsi="Arial" w:cs="Arial"/>
        </w:rPr>
        <w:t xml:space="preserve">Barnet </w:t>
      </w:r>
      <w:r w:rsidRPr="006017FB">
        <w:rPr>
          <w:rFonts w:ascii="Arial" w:hAnsi="Arial" w:cs="Arial"/>
        </w:rPr>
        <w:t xml:space="preserve">pupils achieving a </w:t>
      </w:r>
      <w:r>
        <w:rPr>
          <w:rFonts w:ascii="Arial" w:hAnsi="Arial" w:cs="Arial"/>
        </w:rPr>
        <w:t>G</w:t>
      </w:r>
      <w:r w:rsidRPr="006017FB">
        <w:rPr>
          <w:rFonts w:ascii="Arial" w:hAnsi="Arial" w:cs="Arial"/>
        </w:rPr>
        <w:t xml:space="preserve">ood </w:t>
      </w:r>
      <w:r>
        <w:rPr>
          <w:rFonts w:ascii="Arial" w:hAnsi="Arial" w:cs="Arial"/>
        </w:rPr>
        <w:t>L</w:t>
      </w:r>
      <w:r w:rsidRPr="006017FB">
        <w:rPr>
          <w:rFonts w:ascii="Arial" w:hAnsi="Arial" w:cs="Arial"/>
        </w:rPr>
        <w:t xml:space="preserve">evel of </w:t>
      </w:r>
      <w:r>
        <w:rPr>
          <w:rFonts w:ascii="Arial" w:hAnsi="Arial" w:cs="Arial"/>
        </w:rPr>
        <w:t>D</w:t>
      </w:r>
      <w:r w:rsidRPr="006017FB">
        <w:rPr>
          <w:rFonts w:ascii="Arial" w:hAnsi="Arial" w:cs="Arial"/>
        </w:rPr>
        <w:t xml:space="preserve">evelopment </w:t>
      </w:r>
      <w:r w:rsidR="002E2AE4" w:rsidRPr="00F92101">
        <w:rPr>
          <w:rFonts w:ascii="Arial" w:hAnsi="Arial" w:cs="Arial"/>
        </w:rPr>
        <w:t xml:space="preserve">in the Early Years Foundation Stage </w:t>
      </w:r>
      <w:r w:rsidR="002E2AE4">
        <w:rPr>
          <w:rFonts w:ascii="Arial" w:hAnsi="Arial" w:cs="Arial"/>
        </w:rPr>
        <w:t>(</w:t>
      </w:r>
      <w:r w:rsidRPr="006017FB">
        <w:rPr>
          <w:rFonts w:ascii="Arial" w:hAnsi="Arial" w:cs="Arial"/>
        </w:rPr>
        <w:t>by the end of Reception</w:t>
      </w:r>
      <w:r w:rsidR="002E2AE4">
        <w:rPr>
          <w:rFonts w:ascii="Arial" w:hAnsi="Arial" w:cs="Arial"/>
        </w:rPr>
        <w:t>)</w:t>
      </w:r>
      <w:r w:rsidRPr="006017FB">
        <w:rPr>
          <w:rFonts w:ascii="Arial" w:hAnsi="Arial" w:cs="Arial"/>
        </w:rPr>
        <w:t xml:space="preserve"> </w:t>
      </w:r>
      <w:r w:rsidR="002E2AE4">
        <w:rPr>
          <w:rFonts w:ascii="Arial" w:hAnsi="Arial" w:cs="Arial"/>
        </w:rPr>
        <w:t>wa</w:t>
      </w:r>
      <w:r w:rsidRPr="006017FB">
        <w:rPr>
          <w:rFonts w:ascii="Arial" w:hAnsi="Arial" w:cs="Arial"/>
        </w:rPr>
        <w:t xml:space="preserve">s </w:t>
      </w:r>
      <w:r>
        <w:rPr>
          <w:rFonts w:ascii="Arial" w:hAnsi="Arial" w:cs="Arial"/>
        </w:rPr>
        <w:t>above</w:t>
      </w:r>
      <w:r w:rsidRPr="006017FB">
        <w:rPr>
          <w:rFonts w:ascii="Arial" w:hAnsi="Arial" w:cs="Arial"/>
        </w:rPr>
        <w:t xml:space="preserve"> the national average</w:t>
      </w:r>
      <w:r>
        <w:rPr>
          <w:rFonts w:ascii="Arial" w:hAnsi="Arial" w:cs="Arial"/>
        </w:rPr>
        <w:t xml:space="preserve"> and ranks 35</w:t>
      </w:r>
      <w:r w:rsidRPr="00BF27C5">
        <w:rPr>
          <w:rFonts w:ascii="Arial" w:hAnsi="Arial" w:cs="Arial"/>
          <w:vertAlign w:val="superscript"/>
        </w:rPr>
        <w:t>th</w:t>
      </w:r>
      <w:r>
        <w:rPr>
          <w:rFonts w:ascii="Arial" w:hAnsi="Arial" w:cs="Arial"/>
        </w:rPr>
        <w:t xml:space="preserve"> nationally</w:t>
      </w:r>
      <w:r w:rsidR="002E2AE4">
        <w:rPr>
          <w:rFonts w:ascii="Arial" w:hAnsi="Arial" w:cs="Arial"/>
        </w:rPr>
        <w:t>.</w:t>
      </w:r>
    </w:p>
    <w:p w14:paraId="02E9B106" w14:textId="77777777" w:rsidR="002E2AE4" w:rsidRPr="00F92101" w:rsidRDefault="002E2AE4" w:rsidP="00A51784">
      <w:pPr>
        <w:pStyle w:val="ListParagraph"/>
        <w:numPr>
          <w:ilvl w:val="0"/>
          <w:numId w:val="4"/>
        </w:numPr>
        <w:spacing w:after="120" w:line="240" w:lineRule="auto"/>
        <w:contextualSpacing w:val="0"/>
        <w:jc w:val="both"/>
        <w:rPr>
          <w:rFonts w:ascii="Arial" w:hAnsi="Arial" w:cs="Arial"/>
        </w:rPr>
      </w:pPr>
      <w:r>
        <w:rPr>
          <w:rFonts w:ascii="Arial" w:hAnsi="Arial" w:cs="Arial"/>
        </w:rPr>
        <w:t>Barnet ranked 9</w:t>
      </w:r>
      <w:r w:rsidRPr="00F92101">
        <w:rPr>
          <w:rFonts w:ascii="Arial" w:hAnsi="Arial" w:cs="Arial"/>
          <w:vertAlign w:val="superscript"/>
        </w:rPr>
        <w:t>th</w:t>
      </w:r>
      <w:r>
        <w:rPr>
          <w:rFonts w:ascii="Arial" w:hAnsi="Arial" w:cs="Arial"/>
        </w:rPr>
        <w:t xml:space="preserve"> nationally for t</w:t>
      </w:r>
      <w:r w:rsidRPr="00F92101">
        <w:rPr>
          <w:rFonts w:ascii="Arial" w:hAnsi="Arial" w:cs="Arial"/>
        </w:rPr>
        <w:t>he percentage reaching the expected standard in phonics at Year 1 in 2018</w:t>
      </w:r>
      <w:r>
        <w:rPr>
          <w:rFonts w:ascii="Arial" w:hAnsi="Arial" w:cs="Arial"/>
        </w:rPr>
        <w:t>.</w:t>
      </w:r>
    </w:p>
    <w:p w14:paraId="5A38D319" w14:textId="77777777" w:rsidR="002E2AE4" w:rsidRDefault="002E2AE4" w:rsidP="00A51784">
      <w:pPr>
        <w:pStyle w:val="ListParagraph"/>
        <w:numPr>
          <w:ilvl w:val="0"/>
          <w:numId w:val="4"/>
        </w:numPr>
        <w:spacing w:after="120" w:line="240" w:lineRule="auto"/>
        <w:ind w:left="357" w:hanging="357"/>
        <w:contextualSpacing w:val="0"/>
        <w:jc w:val="both"/>
        <w:rPr>
          <w:rFonts w:ascii="Arial" w:hAnsi="Arial" w:cs="Arial"/>
        </w:rPr>
      </w:pPr>
      <w:r w:rsidRPr="00F92101">
        <w:rPr>
          <w:rFonts w:ascii="Arial" w:hAnsi="Arial" w:cs="Arial"/>
        </w:rPr>
        <w:t xml:space="preserve">In Key Stage 1 attainment at the expected standard is above the national average in all subjects and in the top 20% of LAs in </w:t>
      </w:r>
      <w:r>
        <w:rPr>
          <w:rFonts w:ascii="Arial" w:hAnsi="Arial" w:cs="Arial"/>
        </w:rPr>
        <w:t>R</w:t>
      </w:r>
      <w:r w:rsidRPr="00F92101">
        <w:rPr>
          <w:rFonts w:ascii="Arial" w:hAnsi="Arial" w:cs="Arial"/>
        </w:rPr>
        <w:t xml:space="preserve">eading, </w:t>
      </w:r>
      <w:r>
        <w:rPr>
          <w:rFonts w:ascii="Arial" w:hAnsi="Arial" w:cs="Arial"/>
        </w:rPr>
        <w:t>Writing and M</w:t>
      </w:r>
      <w:r w:rsidRPr="00F92101">
        <w:rPr>
          <w:rFonts w:ascii="Arial" w:hAnsi="Arial" w:cs="Arial"/>
        </w:rPr>
        <w:t>athematics</w:t>
      </w:r>
      <w:r>
        <w:rPr>
          <w:rFonts w:ascii="Arial" w:hAnsi="Arial" w:cs="Arial"/>
        </w:rPr>
        <w:t xml:space="preserve"> combined</w:t>
      </w:r>
      <w:r w:rsidRPr="00F92101">
        <w:rPr>
          <w:rFonts w:ascii="Arial" w:hAnsi="Arial" w:cs="Arial"/>
        </w:rPr>
        <w:t xml:space="preserve">, whilst being roughly in line with statistical neighbours and London averages.   </w:t>
      </w:r>
    </w:p>
    <w:p w14:paraId="51074E75" w14:textId="77777777" w:rsidR="00053952" w:rsidRDefault="00B17961" w:rsidP="00A51784">
      <w:pPr>
        <w:pStyle w:val="ListParagraph"/>
        <w:numPr>
          <w:ilvl w:val="0"/>
          <w:numId w:val="4"/>
        </w:numPr>
        <w:spacing w:after="120" w:line="240" w:lineRule="auto"/>
        <w:ind w:left="357" w:hanging="357"/>
        <w:contextualSpacing w:val="0"/>
        <w:jc w:val="both"/>
        <w:rPr>
          <w:rFonts w:ascii="Arial" w:hAnsi="Arial" w:cs="Arial"/>
        </w:rPr>
      </w:pPr>
      <w:r w:rsidRPr="00B17961">
        <w:rPr>
          <w:rFonts w:ascii="Arial" w:hAnsi="Arial" w:cs="Arial"/>
        </w:rPr>
        <w:t xml:space="preserve">In </w:t>
      </w:r>
      <w:r w:rsidR="00B678B4" w:rsidRPr="00B17961">
        <w:rPr>
          <w:rFonts w:ascii="Arial" w:hAnsi="Arial" w:cs="Arial"/>
        </w:rPr>
        <w:t xml:space="preserve">Key Stage 2, the proportion of pupils reaching the expected standard in Reading, Writing and </w:t>
      </w:r>
      <w:r>
        <w:rPr>
          <w:rFonts w:ascii="Arial" w:hAnsi="Arial" w:cs="Arial"/>
        </w:rPr>
        <w:t>M</w:t>
      </w:r>
      <w:r w:rsidRPr="00F92101">
        <w:rPr>
          <w:rFonts w:ascii="Arial" w:hAnsi="Arial" w:cs="Arial"/>
        </w:rPr>
        <w:t>athematics</w:t>
      </w:r>
      <w:r>
        <w:rPr>
          <w:rFonts w:ascii="Arial" w:hAnsi="Arial" w:cs="Arial"/>
        </w:rPr>
        <w:t xml:space="preserve"> is above the </w:t>
      </w:r>
      <w:r w:rsidRPr="00B17961">
        <w:rPr>
          <w:rFonts w:ascii="Arial" w:hAnsi="Arial" w:cs="Arial"/>
        </w:rPr>
        <w:t>statistical neighbour averag</w:t>
      </w:r>
      <w:r>
        <w:rPr>
          <w:rFonts w:ascii="Arial" w:hAnsi="Arial" w:cs="Arial"/>
        </w:rPr>
        <w:t xml:space="preserve">e and </w:t>
      </w:r>
      <w:r w:rsidR="00B678B4" w:rsidRPr="00B17961">
        <w:rPr>
          <w:rFonts w:ascii="Arial" w:hAnsi="Arial" w:cs="Arial"/>
        </w:rPr>
        <w:t>within the top 10</w:t>
      </w:r>
      <w:r>
        <w:rPr>
          <w:rFonts w:ascii="Arial" w:hAnsi="Arial" w:cs="Arial"/>
        </w:rPr>
        <w:t xml:space="preserve">% of LAs nationally, </w:t>
      </w:r>
      <w:r w:rsidRPr="00F92101">
        <w:rPr>
          <w:rFonts w:ascii="Arial" w:hAnsi="Arial" w:cs="Arial"/>
        </w:rPr>
        <w:t>with Barnet now ranked 8th out of 152 LAs</w:t>
      </w:r>
      <w:r w:rsidR="00B678B4" w:rsidRPr="00B17961">
        <w:rPr>
          <w:rFonts w:ascii="Arial" w:hAnsi="Arial" w:cs="Arial"/>
        </w:rPr>
        <w:t xml:space="preserve">. </w:t>
      </w:r>
      <w:r w:rsidR="00053952" w:rsidRPr="00F92101">
        <w:rPr>
          <w:rFonts w:ascii="Arial" w:hAnsi="Arial" w:cs="Arial"/>
        </w:rPr>
        <w:t>Attainment in Writing was in the top 20% of LAs, with Barnet’s ranking having improved to 21st from 100th in 2016.</w:t>
      </w:r>
    </w:p>
    <w:p w14:paraId="2059D052" w14:textId="77777777" w:rsidR="00053952" w:rsidRPr="00F92101" w:rsidRDefault="00053952" w:rsidP="00A51784">
      <w:pPr>
        <w:pStyle w:val="ListParagraph"/>
        <w:numPr>
          <w:ilvl w:val="0"/>
          <w:numId w:val="4"/>
        </w:numPr>
        <w:spacing w:after="120" w:line="240" w:lineRule="auto"/>
        <w:ind w:left="357" w:hanging="357"/>
        <w:contextualSpacing w:val="0"/>
        <w:jc w:val="both"/>
        <w:rPr>
          <w:rFonts w:ascii="Arial" w:hAnsi="Arial" w:cs="Arial"/>
        </w:rPr>
      </w:pPr>
      <w:r w:rsidRPr="00F92101">
        <w:rPr>
          <w:rFonts w:ascii="Arial" w:hAnsi="Arial" w:cs="Arial"/>
        </w:rPr>
        <w:t>Progress of pupils between Key Stage 1 and Key Stage 2 in all subjects is significantly better than the national average. Barnet is in the top 10% of LAs in the country for Maths and Reading progress.  It ranks 42nd for progress in Writing, but there remain issues around the validity of national comparisons because of inconsistencies in moderation of teacher assessments across the country.</w:t>
      </w:r>
    </w:p>
    <w:p w14:paraId="3099B042" w14:textId="77777777" w:rsidR="00053952" w:rsidRPr="00053952" w:rsidRDefault="00B678B4" w:rsidP="00A51784">
      <w:pPr>
        <w:pStyle w:val="ListParagraph"/>
        <w:numPr>
          <w:ilvl w:val="0"/>
          <w:numId w:val="4"/>
        </w:numPr>
        <w:spacing w:after="120" w:line="240" w:lineRule="auto"/>
        <w:contextualSpacing w:val="0"/>
        <w:jc w:val="both"/>
        <w:rPr>
          <w:rFonts w:ascii="Arial" w:hAnsi="Arial" w:cs="Arial"/>
        </w:rPr>
      </w:pPr>
      <w:r w:rsidRPr="00B17961">
        <w:rPr>
          <w:rFonts w:ascii="Arial" w:hAnsi="Arial" w:cs="Arial"/>
        </w:rPr>
        <w:t xml:space="preserve">At the end of Key Stage 4 in 2018, </w:t>
      </w:r>
      <w:r w:rsidR="00B17961" w:rsidRPr="00B17961">
        <w:rPr>
          <w:rFonts w:ascii="Arial" w:hAnsi="Arial" w:cs="Arial"/>
        </w:rPr>
        <w:t>the average Attainment 8 score ranked Barnet 5</w:t>
      </w:r>
      <w:r w:rsidR="00B17961" w:rsidRPr="00B17961">
        <w:rPr>
          <w:rFonts w:ascii="Arial" w:hAnsi="Arial" w:cs="Arial"/>
          <w:vertAlign w:val="superscript"/>
        </w:rPr>
        <w:t>th</w:t>
      </w:r>
      <w:r w:rsidR="00B17961" w:rsidRPr="00B17961">
        <w:rPr>
          <w:rFonts w:ascii="Arial" w:hAnsi="Arial" w:cs="Arial"/>
        </w:rPr>
        <w:t xml:space="preserve"> and the average Progress 8 score ranked Barnet</w:t>
      </w:r>
      <w:r w:rsidR="00B17961" w:rsidRPr="00B17961">
        <w:rPr>
          <w:rFonts w:ascii="Arial" w:hAnsi="Arial" w:cs="Arial"/>
          <w:vertAlign w:val="superscript"/>
        </w:rPr>
        <w:t xml:space="preserve"> </w:t>
      </w:r>
      <w:r w:rsidR="00B17961" w:rsidRPr="00B17961">
        <w:rPr>
          <w:rFonts w:ascii="Arial" w:hAnsi="Arial" w:cs="Arial"/>
        </w:rPr>
        <w:t>2</w:t>
      </w:r>
      <w:r w:rsidR="00B17961" w:rsidRPr="00B17961">
        <w:rPr>
          <w:rFonts w:ascii="Arial" w:hAnsi="Arial" w:cs="Arial"/>
          <w:vertAlign w:val="superscript"/>
        </w:rPr>
        <w:t>nd</w:t>
      </w:r>
      <w:r w:rsidR="00B17961" w:rsidRPr="00B17961">
        <w:rPr>
          <w:rFonts w:ascii="Arial" w:hAnsi="Arial" w:cs="Arial"/>
        </w:rPr>
        <w:t xml:space="preserve"> nationally and </w:t>
      </w:r>
      <w:r w:rsidRPr="00B17961">
        <w:rPr>
          <w:rFonts w:ascii="Arial" w:hAnsi="Arial" w:cs="Arial"/>
        </w:rPr>
        <w:t>the proportion of pupils achieving a</w:t>
      </w:r>
      <w:r w:rsidR="00053952">
        <w:rPr>
          <w:rFonts w:ascii="Arial" w:hAnsi="Arial" w:cs="Arial"/>
        </w:rPr>
        <w:t xml:space="preserve"> 5 or above</w:t>
      </w:r>
      <w:r w:rsidRPr="00B17961">
        <w:rPr>
          <w:rFonts w:ascii="Arial" w:hAnsi="Arial" w:cs="Arial"/>
        </w:rPr>
        <w:t xml:space="preserve"> in English and Maths is consistently in the top </w:t>
      </w:r>
      <w:r w:rsidR="00053952">
        <w:rPr>
          <w:rFonts w:ascii="Arial" w:hAnsi="Arial" w:cs="Arial"/>
        </w:rPr>
        <w:t>5</w:t>
      </w:r>
      <w:r w:rsidRPr="00B17961">
        <w:rPr>
          <w:rFonts w:ascii="Arial" w:hAnsi="Arial" w:cs="Arial"/>
        </w:rPr>
        <w:t>%</w:t>
      </w:r>
      <w:r w:rsidR="00053952" w:rsidRPr="005D0AC7">
        <w:rPr>
          <w:rFonts w:ascii="Arial" w:hAnsi="Arial" w:cs="Arial"/>
        </w:rPr>
        <w:t xml:space="preserve"> of LAs nationally, as is the proportion of pupils who achieved the English Baccalaureate.</w:t>
      </w:r>
    </w:p>
    <w:p w14:paraId="130B9EFC" w14:textId="77777777" w:rsidR="00B678B4" w:rsidRPr="00B17961" w:rsidRDefault="00B678B4" w:rsidP="0037531D">
      <w:pPr>
        <w:spacing w:after="120" w:line="240" w:lineRule="auto"/>
        <w:jc w:val="both"/>
        <w:rPr>
          <w:rFonts w:ascii="Arial" w:hAnsi="Arial" w:cs="Arial"/>
        </w:rPr>
      </w:pPr>
      <w:r w:rsidRPr="00B17961">
        <w:rPr>
          <w:rFonts w:ascii="Arial" w:hAnsi="Arial" w:cs="Arial"/>
          <w:b/>
        </w:rPr>
        <w:t>Closing the gap</w:t>
      </w:r>
    </w:p>
    <w:p w14:paraId="3FDED634" w14:textId="77777777" w:rsidR="005558EC" w:rsidRPr="005558EC" w:rsidRDefault="005558EC" w:rsidP="00A51784">
      <w:pPr>
        <w:pStyle w:val="ListParagraph"/>
        <w:numPr>
          <w:ilvl w:val="0"/>
          <w:numId w:val="14"/>
        </w:numPr>
        <w:spacing w:after="120" w:line="240" w:lineRule="auto"/>
        <w:ind w:left="360"/>
        <w:contextualSpacing w:val="0"/>
        <w:rPr>
          <w:rFonts w:ascii="Arial" w:hAnsi="Arial" w:cs="Arial"/>
        </w:rPr>
      </w:pPr>
      <w:r w:rsidRPr="005558EC">
        <w:rPr>
          <w:rFonts w:ascii="Arial" w:hAnsi="Arial" w:cs="Arial"/>
        </w:rPr>
        <w:t>In Key Stage 2 attainment in Reading, Writing and Mathematics combined by disadvantaged KS2 pupils is now in the top 10% of LAs, with Barnet ranked 9th in the country.</w:t>
      </w:r>
    </w:p>
    <w:p w14:paraId="62CC6C9E" w14:textId="77777777" w:rsidR="005558EC" w:rsidRPr="005558EC" w:rsidRDefault="005558EC" w:rsidP="00A51784">
      <w:pPr>
        <w:pStyle w:val="ListParagraph"/>
        <w:numPr>
          <w:ilvl w:val="0"/>
          <w:numId w:val="14"/>
        </w:numPr>
        <w:spacing w:after="120" w:line="240" w:lineRule="auto"/>
        <w:ind w:left="360"/>
        <w:contextualSpacing w:val="0"/>
        <w:rPr>
          <w:rFonts w:ascii="Arial" w:hAnsi="Arial" w:cs="Arial"/>
        </w:rPr>
      </w:pPr>
      <w:r w:rsidRPr="005558EC">
        <w:rPr>
          <w:rFonts w:ascii="Arial" w:hAnsi="Arial" w:cs="Arial"/>
        </w:rPr>
        <w:t>End of Key Stage 4 GCSE attainment and progress are in the top 5% nationally (Attainment 8 and Progress 8) for disadvantaged pupils.  The gap between Barnet’s disadvantaged pupils and non-disadvantaged pupils nationally at Attainment 8 is the 5th smallest in the country.  Barnet disadvantaged pupils are now performing better than non-disadvantaged pupils nationally. Barnet’s rank on this gap measure has improved from 15th in 2017 to 4th best Local Authority in 2018.</w:t>
      </w:r>
    </w:p>
    <w:p w14:paraId="576FE089" w14:textId="77777777" w:rsidR="005558EC" w:rsidRPr="005558EC" w:rsidRDefault="005558EC" w:rsidP="00A51784">
      <w:pPr>
        <w:pStyle w:val="ListParagraph"/>
        <w:numPr>
          <w:ilvl w:val="0"/>
          <w:numId w:val="14"/>
        </w:numPr>
        <w:spacing w:after="120" w:line="240" w:lineRule="auto"/>
        <w:ind w:left="360"/>
        <w:contextualSpacing w:val="0"/>
        <w:rPr>
          <w:rFonts w:ascii="Arial" w:hAnsi="Arial" w:cs="Arial"/>
        </w:rPr>
      </w:pPr>
      <w:r w:rsidRPr="005558EC">
        <w:rPr>
          <w:rFonts w:ascii="Arial" w:hAnsi="Arial" w:cs="Arial"/>
        </w:rPr>
        <w:t>In Key Stage 2 Barnet is performing better than the national and statistical neighbour averages in Reading Writing and Maths combined in all the ethnic pupil categories for the proportion of pupils reaching the expected standard.</w:t>
      </w:r>
    </w:p>
    <w:p w14:paraId="7A05BA43" w14:textId="77777777" w:rsidR="005558EC" w:rsidRPr="005558EC" w:rsidRDefault="005558EC" w:rsidP="00A51784">
      <w:pPr>
        <w:pStyle w:val="ListParagraph"/>
        <w:numPr>
          <w:ilvl w:val="0"/>
          <w:numId w:val="14"/>
        </w:numPr>
        <w:spacing w:after="120" w:line="240" w:lineRule="auto"/>
        <w:ind w:left="360"/>
        <w:contextualSpacing w:val="0"/>
        <w:rPr>
          <w:rFonts w:ascii="Arial" w:hAnsi="Arial" w:cs="Arial"/>
        </w:rPr>
      </w:pPr>
      <w:r w:rsidRPr="005558EC">
        <w:rPr>
          <w:rFonts w:ascii="Arial" w:hAnsi="Arial" w:cs="Arial"/>
        </w:rPr>
        <w:t>At secondary level in Attainment 8 and Progress 8 all ethnic groups are in the top 10% other than ‘All Black pupils’, who are above the national average but well short of the top 10%.</w:t>
      </w:r>
    </w:p>
    <w:p w14:paraId="48C79C04" w14:textId="77777777" w:rsidR="00A262C0" w:rsidRDefault="005558EC" w:rsidP="00A51784">
      <w:pPr>
        <w:pStyle w:val="ListParagraph"/>
        <w:numPr>
          <w:ilvl w:val="0"/>
          <w:numId w:val="14"/>
        </w:numPr>
        <w:spacing w:after="120" w:line="240" w:lineRule="auto"/>
        <w:ind w:left="360"/>
        <w:contextualSpacing w:val="0"/>
        <w:rPr>
          <w:rFonts w:ascii="Arial" w:hAnsi="Arial" w:cs="Arial"/>
        </w:rPr>
      </w:pPr>
      <w:r w:rsidRPr="005558EC">
        <w:rPr>
          <w:rFonts w:ascii="Arial" w:hAnsi="Arial" w:cs="Arial"/>
        </w:rPr>
        <w:t>Children with special educational needs continue to perform well in Barnet, and proportionally more pupils with SEND are educated in mainstream schools than nationally. At all Key Stages and in all subjects SEND pupils in Barnet perform better than national.</w:t>
      </w:r>
    </w:p>
    <w:p w14:paraId="2CB93313" w14:textId="77777777" w:rsidR="00A262C0" w:rsidRPr="00BD2F62" w:rsidRDefault="00A262C0" w:rsidP="00A51784">
      <w:pPr>
        <w:pStyle w:val="ListParagraph"/>
        <w:numPr>
          <w:ilvl w:val="0"/>
          <w:numId w:val="14"/>
        </w:numPr>
        <w:spacing w:after="120" w:line="240" w:lineRule="auto"/>
        <w:ind w:left="360"/>
        <w:contextualSpacing w:val="0"/>
        <w:rPr>
          <w:rFonts w:ascii="Arial" w:hAnsi="Arial" w:cs="Arial"/>
        </w:rPr>
      </w:pPr>
      <w:r w:rsidRPr="00A262C0">
        <w:rPr>
          <w:rFonts w:ascii="Arial" w:hAnsi="Arial" w:cs="Arial"/>
        </w:rPr>
        <w:t xml:space="preserve">Comparative data on looked after children from 2018 is not published until May. The 2017 data showed an improvement on recent years.  At KS2 attainment is above the national figures for Looked After Children in all subjects. At secondary level (KS4) Progress 8 was ranked 42nd and Attainment 8 was 83rd. </w:t>
      </w:r>
    </w:p>
    <w:p w14:paraId="57E92FC6" w14:textId="77777777" w:rsidR="007854C0" w:rsidRDefault="007854C0" w:rsidP="0037531D">
      <w:pPr>
        <w:spacing w:after="120" w:line="240" w:lineRule="auto"/>
        <w:jc w:val="both"/>
        <w:rPr>
          <w:rFonts w:ascii="Arial" w:hAnsi="Arial" w:cs="Arial"/>
          <w:b/>
        </w:rPr>
      </w:pPr>
      <w:r w:rsidRPr="006017FB">
        <w:rPr>
          <w:rFonts w:ascii="Arial" w:hAnsi="Arial" w:cs="Arial"/>
          <w:b/>
        </w:rPr>
        <w:t>Post</w:t>
      </w:r>
      <w:r w:rsidR="00DC1C41">
        <w:rPr>
          <w:rFonts w:ascii="Arial" w:hAnsi="Arial" w:cs="Arial"/>
          <w:b/>
        </w:rPr>
        <w:t>-</w:t>
      </w:r>
      <w:r w:rsidRPr="006017FB">
        <w:rPr>
          <w:rFonts w:ascii="Arial" w:hAnsi="Arial" w:cs="Arial"/>
          <w:b/>
        </w:rPr>
        <w:t>16</w:t>
      </w:r>
    </w:p>
    <w:p w14:paraId="27DAB0E6" w14:textId="77777777" w:rsidR="00CF61BC" w:rsidRPr="005558EC" w:rsidRDefault="005558EC" w:rsidP="00A51784">
      <w:pPr>
        <w:pStyle w:val="ListParagraph"/>
        <w:numPr>
          <w:ilvl w:val="0"/>
          <w:numId w:val="4"/>
        </w:numPr>
        <w:spacing w:after="120" w:line="240" w:lineRule="auto"/>
        <w:contextualSpacing w:val="0"/>
        <w:jc w:val="both"/>
        <w:rPr>
          <w:rFonts w:ascii="Arial" w:hAnsi="Arial" w:cs="Arial"/>
        </w:rPr>
      </w:pPr>
      <w:r w:rsidRPr="005558EC">
        <w:rPr>
          <w:rFonts w:ascii="Arial" w:hAnsi="Arial" w:cs="Arial"/>
        </w:rPr>
        <w:t xml:space="preserve">End of Key Stage 5 ‘A Level’ attainment is in the top 5% nationally on all key measures, except in the vocational qualification groups of technical qualifications or applied general qualifications. </w:t>
      </w:r>
      <w:r>
        <w:rPr>
          <w:rFonts w:ascii="Arial" w:hAnsi="Arial" w:cs="Arial"/>
        </w:rPr>
        <w:t xml:space="preserve"> </w:t>
      </w:r>
      <w:r w:rsidR="007854C0" w:rsidRPr="005558EC">
        <w:rPr>
          <w:rFonts w:ascii="Arial" w:hAnsi="Arial" w:cs="Arial"/>
        </w:rPr>
        <w:t>Level 3 studies at GCSE</w:t>
      </w:r>
      <w:r w:rsidR="00CF61BC" w:rsidRPr="005558EC">
        <w:rPr>
          <w:rFonts w:ascii="Arial" w:hAnsi="Arial" w:cs="Arial"/>
        </w:rPr>
        <w:t xml:space="preserve"> ranked Barnet 8</w:t>
      </w:r>
      <w:r w:rsidR="00CF61BC" w:rsidRPr="005558EC">
        <w:rPr>
          <w:rFonts w:ascii="Arial" w:hAnsi="Arial" w:cs="Arial"/>
          <w:vertAlign w:val="superscript"/>
        </w:rPr>
        <w:t>th</w:t>
      </w:r>
      <w:r w:rsidR="00CF61BC" w:rsidRPr="005558EC">
        <w:rPr>
          <w:rFonts w:ascii="Arial" w:hAnsi="Arial" w:cs="Arial"/>
        </w:rPr>
        <w:t xml:space="preserve"> for A Levels, 21</w:t>
      </w:r>
      <w:r w:rsidR="00CF61BC" w:rsidRPr="005558EC">
        <w:rPr>
          <w:rFonts w:ascii="Arial" w:hAnsi="Arial" w:cs="Arial"/>
          <w:vertAlign w:val="superscript"/>
        </w:rPr>
        <w:t>st</w:t>
      </w:r>
      <w:r w:rsidR="00CF61BC" w:rsidRPr="005558EC">
        <w:rPr>
          <w:rFonts w:ascii="Arial" w:hAnsi="Arial" w:cs="Arial"/>
        </w:rPr>
        <w:t xml:space="preserve"> for Applied General but 113</w:t>
      </w:r>
      <w:r w:rsidR="00CF61BC" w:rsidRPr="005558EC">
        <w:rPr>
          <w:rFonts w:ascii="Arial" w:hAnsi="Arial" w:cs="Arial"/>
          <w:vertAlign w:val="superscript"/>
        </w:rPr>
        <w:t>th</w:t>
      </w:r>
      <w:r w:rsidR="00CF61BC" w:rsidRPr="005558EC">
        <w:rPr>
          <w:rFonts w:ascii="Arial" w:hAnsi="Arial" w:cs="Arial"/>
        </w:rPr>
        <w:t xml:space="preserve"> for Technical Level qualifications. </w:t>
      </w:r>
    </w:p>
    <w:p w14:paraId="0BC12599" w14:textId="77777777" w:rsidR="007854C0" w:rsidRDefault="007854C0" w:rsidP="00A51784">
      <w:pPr>
        <w:pStyle w:val="ListParagraph"/>
        <w:numPr>
          <w:ilvl w:val="0"/>
          <w:numId w:val="4"/>
        </w:numPr>
        <w:spacing w:after="120" w:line="240" w:lineRule="auto"/>
        <w:contextualSpacing w:val="0"/>
        <w:jc w:val="both"/>
        <w:rPr>
          <w:rFonts w:ascii="Arial" w:hAnsi="Arial" w:cs="Arial"/>
        </w:rPr>
      </w:pPr>
      <w:r w:rsidRPr="006017FB">
        <w:rPr>
          <w:rFonts w:ascii="Arial" w:hAnsi="Arial" w:cs="Arial"/>
        </w:rPr>
        <w:t>It is recognised that the majority of Barnet secondary schools offer an academically focussed curriculum and that young people need to be well supported to make appropriate choices of alternative options post 16.</w:t>
      </w:r>
    </w:p>
    <w:p w14:paraId="0BCC2159" w14:textId="77777777" w:rsidR="005558EC" w:rsidRDefault="005558EC" w:rsidP="00A51784">
      <w:pPr>
        <w:pStyle w:val="ListParagraph"/>
        <w:numPr>
          <w:ilvl w:val="0"/>
          <w:numId w:val="4"/>
        </w:numPr>
        <w:spacing w:after="120" w:line="240" w:lineRule="auto"/>
        <w:contextualSpacing w:val="0"/>
        <w:jc w:val="both"/>
        <w:rPr>
          <w:rFonts w:ascii="Arial" w:hAnsi="Arial" w:cs="Arial"/>
        </w:rPr>
      </w:pPr>
      <w:r>
        <w:rPr>
          <w:rFonts w:ascii="Arial" w:hAnsi="Arial" w:cs="Arial"/>
        </w:rPr>
        <w:t>T</w:t>
      </w:r>
      <w:r w:rsidRPr="005558EC">
        <w:rPr>
          <w:rFonts w:ascii="Arial" w:hAnsi="Arial" w:cs="Arial"/>
        </w:rPr>
        <w:t>he average progress scores for English and Maths (from GCSE to A Level/Level 3) demonstrated that</w:t>
      </w:r>
      <w:r>
        <w:rPr>
          <w:rFonts w:ascii="Arial" w:hAnsi="Arial" w:cs="Arial"/>
        </w:rPr>
        <w:t>,</w:t>
      </w:r>
      <w:r w:rsidRPr="005558EC">
        <w:rPr>
          <w:rFonts w:ascii="Arial" w:hAnsi="Arial" w:cs="Arial"/>
        </w:rPr>
        <w:t xml:space="preserve"> overall, pupils in Barnet made more progress than similar pupils nationally for both English and Maths.</w:t>
      </w:r>
    </w:p>
    <w:p w14:paraId="312800BD" w14:textId="77777777" w:rsidR="007854C0" w:rsidRPr="006017FB" w:rsidRDefault="007854C0" w:rsidP="00A51784">
      <w:pPr>
        <w:pStyle w:val="ListParagraph"/>
        <w:numPr>
          <w:ilvl w:val="0"/>
          <w:numId w:val="4"/>
        </w:numPr>
        <w:spacing w:after="120" w:line="240" w:lineRule="auto"/>
        <w:contextualSpacing w:val="0"/>
        <w:jc w:val="both"/>
        <w:rPr>
          <w:rFonts w:ascii="Arial" w:hAnsi="Arial" w:cs="Arial"/>
        </w:rPr>
      </w:pPr>
      <w:r w:rsidRPr="006017FB">
        <w:rPr>
          <w:rFonts w:ascii="Arial" w:hAnsi="Arial" w:cs="Arial"/>
        </w:rPr>
        <w:t>Overall, the number of Barnet young people who are not engaged in education, employment or training</w:t>
      </w:r>
      <w:r w:rsidR="00BD2F62">
        <w:rPr>
          <w:rFonts w:ascii="Arial" w:hAnsi="Arial" w:cs="Arial"/>
        </w:rPr>
        <w:t xml:space="preserve"> (NEET)</w:t>
      </w:r>
      <w:r w:rsidRPr="006017FB">
        <w:rPr>
          <w:rFonts w:ascii="Arial" w:hAnsi="Arial" w:cs="Arial"/>
        </w:rPr>
        <w:t xml:space="preserve"> is low.</w:t>
      </w:r>
      <w:r w:rsidR="00BD2F62">
        <w:rPr>
          <w:rFonts w:ascii="Arial" w:hAnsi="Arial" w:cs="Arial"/>
        </w:rPr>
        <w:t xml:space="preserve">  The percentage who were NEET in January to March 2018 was </w:t>
      </w:r>
      <w:r w:rsidR="00D26246">
        <w:rPr>
          <w:rFonts w:ascii="Arial" w:hAnsi="Arial" w:cs="Arial"/>
        </w:rPr>
        <w:t xml:space="preserve">only </w:t>
      </w:r>
      <w:r w:rsidR="00BD2F62">
        <w:rPr>
          <w:rFonts w:ascii="Arial" w:hAnsi="Arial" w:cs="Arial"/>
        </w:rPr>
        <w:t>1.8%</w:t>
      </w:r>
      <w:r w:rsidR="00D26246">
        <w:rPr>
          <w:rFonts w:ascii="Arial" w:hAnsi="Arial" w:cs="Arial"/>
        </w:rPr>
        <w:t>.</w:t>
      </w:r>
    </w:p>
    <w:p w14:paraId="66B12F58" w14:textId="77777777" w:rsidR="007854C0" w:rsidRPr="006017FB" w:rsidRDefault="007854C0" w:rsidP="0037531D">
      <w:pPr>
        <w:spacing w:after="120" w:line="240" w:lineRule="auto"/>
        <w:jc w:val="both"/>
        <w:rPr>
          <w:rFonts w:ascii="Arial" w:hAnsi="Arial" w:cs="Arial"/>
          <w:b/>
        </w:rPr>
      </w:pPr>
      <w:r w:rsidRPr="006017FB">
        <w:rPr>
          <w:rFonts w:ascii="Arial" w:hAnsi="Arial" w:cs="Arial"/>
          <w:b/>
        </w:rPr>
        <w:t>Attendance and exclusions</w:t>
      </w:r>
    </w:p>
    <w:p w14:paraId="36723742" w14:textId="77777777" w:rsidR="00D26246" w:rsidRDefault="004935DA" w:rsidP="00A51784">
      <w:pPr>
        <w:pStyle w:val="ListParagraph"/>
        <w:numPr>
          <w:ilvl w:val="0"/>
          <w:numId w:val="4"/>
        </w:numPr>
        <w:spacing w:after="120" w:line="240" w:lineRule="auto"/>
        <w:ind w:left="357" w:hanging="357"/>
        <w:contextualSpacing w:val="0"/>
        <w:jc w:val="both"/>
        <w:rPr>
          <w:rFonts w:ascii="Arial" w:hAnsi="Arial" w:cs="Arial"/>
        </w:rPr>
      </w:pPr>
      <w:r w:rsidRPr="00D26246">
        <w:rPr>
          <w:rFonts w:ascii="Arial" w:hAnsi="Arial" w:cs="Arial"/>
        </w:rPr>
        <w:t>Primary attendance is now 96.1% and is above the national average, with Barnet’s ranking having improved from 82nd in 2016 to 15th in 2018 (out of 152 LAs) thus placing Barnet in the top 10% of LAs.  Secondary attendance is now 95.5%, ranked 7th nationally, and thus also in the top 10% of LAs.</w:t>
      </w:r>
    </w:p>
    <w:p w14:paraId="56BEB538" w14:textId="77777777" w:rsidR="004935DA" w:rsidRPr="00D26246" w:rsidRDefault="00FD54B0" w:rsidP="00A51784">
      <w:pPr>
        <w:pStyle w:val="ListParagraph"/>
        <w:numPr>
          <w:ilvl w:val="0"/>
          <w:numId w:val="4"/>
        </w:numPr>
        <w:spacing w:after="120" w:line="240" w:lineRule="auto"/>
        <w:contextualSpacing w:val="0"/>
        <w:jc w:val="both"/>
        <w:rPr>
          <w:rFonts w:ascii="Arial" w:hAnsi="Arial" w:cs="Arial"/>
        </w:rPr>
      </w:pPr>
      <w:r w:rsidRPr="00D26246">
        <w:rPr>
          <w:rFonts w:ascii="Arial" w:hAnsi="Arial" w:cs="Arial"/>
        </w:rPr>
        <w:t>Over the last five years, there have been on average 44 permanent exclusions each academic year at the secondary level. In 2016/17, the number of permanent exclusions remained in line with the Barnet average with 44 secondary pupils being excluded. No primary pupils were excluded. In 2017/18, there was a decrease in the number of secondary permanent exclusions to 32. No primary pupils again were excluded.</w:t>
      </w:r>
    </w:p>
    <w:p w14:paraId="6D3B01CE" w14:textId="77777777" w:rsidR="007854C0" w:rsidRPr="006017FB" w:rsidRDefault="007854C0" w:rsidP="0037531D">
      <w:pPr>
        <w:spacing w:after="120" w:line="240" w:lineRule="auto"/>
        <w:jc w:val="both"/>
        <w:rPr>
          <w:rFonts w:ascii="Arial" w:hAnsi="Arial" w:cs="Arial"/>
          <w:b/>
        </w:rPr>
      </w:pPr>
      <w:r w:rsidRPr="006017FB">
        <w:rPr>
          <w:rFonts w:ascii="Arial" w:hAnsi="Arial" w:cs="Arial"/>
          <w:b/>
        </w:rPr>
        <w:t>School places</w:t>
      </w:r>
    </w:p>
    <w:p w14:paraId="0BC11B39" w14:textId="77777777" w:rsidR="00FD54B0" w:rsidRDefault="00FD54B0" w:rsidP="00A51784">
      <w:pPr>
        <w:pStyle w:val="ListParagraph"/>
        <w:numPr>
          <w:ilvl w:val="0"/>
          <w:numId w:val="4"/>
        </w:numPr>
        <w:spacing w:after="120" w:line="240" w:lineRule="auto"/>
        <w:contextualSpacing w:val="0"/>
        <w:rPr>
          <w:rFonts w:ascii="Arial" w:hAnsi="Arial" w:cs="Arial"/>
        </w:rPr>
      </w:pPr>
      <w:r w:rsidRPr="00FD54B0">
        <w:rPr>
          <w:rFonts w:ascii="Arial" w:hAnsi="Arial" w:cs="Arial"/>
        </w:rPr>
        <w:t>Over 8,000 new school places have been provided since 2009</w:t>
      </w:r>
      <w:r w:rsidR="00D26246">
        <w:rPr>
          <w:rFonts w:ascii="Arial" w:hAnsi="Arial" w:cs="Arial"/>
        </w:rPr>
        <w:t>, which</w:t>
      </w:r>
      <w:r w:rsidRPr="00FD54B0">
        <w:rPr>
          <w:rFonts w:ascii="Arial" w:hAnsi="Arial" w:cs="Arial"/>
        </w:rPr>
        <w:t xml:space="preserve"> has ensured, so far, that every child has had a school place. The majority of these places have been in the primary phase and</w:t>
      </w:r>
      <w:r w:rsidR="00D26246">
        <w:rPr>
          <w:rFonts w:ascii="Arial" w:hAnsi="Arial" w:cs="Arial"/>
        </w:rPr>
        <w:t>,</w:t>
      </w:r>
      <w:r w:rsidRPr="00FD54B0">
        <w:rPr>
          <w:rFonts w:ascii="Arial" w:hAnsi="Arial" w:cs="Arial"/>
        </w:rPr>
        <w:t xml:space="preserve"> as these children move through to the secondary phase, new secondary places have been secured through the establishment of two new Free </w:t>
      </w:r>
      <w:proofErr w:type="gramStart"/>
      <w:r w:rsidRPr="00FD54B0">
        <w:rPr>
          <w:rFonts w:ascii="Arial" w:hAnsi="Arial" w:cs="Arial"/>
        </w:rPr>
        <w:t>Schools  (</w:t>
      </w:r>
      <w:proofErr w:type="gramEnd"/>
      <w:r w:rsidRPr="00FD54B0">
        <w:rPr>
          <w:rFonts w:ascii="Arial" w:hAnsi="Arial" w:cs="Arial"/>
        </w:rPr>
        <w:t>Saracens High School and Ark Academy)</w:t>
      </w:r>
      <w:r w:rsidR="00D26246">
        <w:rPr>
          <w:rFonts w:ascii="Arial" w:hAnsi="Arial" w:cs="Arial"/>
        </w:rPr>
        <w:t xml:space="preserve"> </w:t>
      </w:r>
      <w:r w:rsidRPr="00FD54B0">
        <w:rPr>
          <w:rFonts w:ascii="Arial" w:hAnsi="Arial" w:cs="Arial"/>
        </w:rPr>
        <w:t>and the successful delivery of the expansion of St. James</w:t>
      </w:r>
      <w:r w:rsidR="00D26246">
        <w:rPr>
          <w:rFonts w:ascii="Arial" w:hAnsi="Arial" w:cs="Arial"/>
        </w:rPr>
        <w:t xml:space="preserve"> and St. Mary’s and St. John’s. </w:t>
      </w:r>
      <w:r w:rsidRPr="00FD54B0">
        <w:rPr>
          <w:rFonts w:ascii="Arial" w:hAnsi="Arial" w:cs="Arial"/>
        </w:rPr>
        <w:t xml:space="preserve"> Barnet has experienced the predicted fall in Primary school rolls over the last two years (nearly 8%) leading to spare capacity in some schools. However, further regeneration over the next decade will see an increase in demand in the south</w:t>
      </w:r>
      <w:r w:rsidR="00D26246">
        <w:rPr>
          <w:rFonts w:ascii="Arial" w:hAnsi="Arial" w:cs="Arial"/>
        </w:rPr>
        <w:t>-</w:t>
      </w:r>
      <w:r w:rsidRPr="00FD54B0">
        <w:rPr>
          <w:rFonts w:ascii="Arial" w:hAnsi="Arial" w:cs="Arial"/>
        </w:rPr>
        <w:t xml:space="preserve">west of the borough. </w:t>
      </w:r>
    </w:p>
    <w:p w14:paraId="0A3E1607" w14:textId="77777777" w:rsidR="00D26246" w:rsidRPr="00082A9B" w:rsidRDefault="00082A9B" w:rsidP="00A51784">
      <w:pPr>
        <w:pStyle w:val="ListParagraph"/>
        <w:numPr>
          <w:ilvl w:val="0"/>
          <w:numId w:val="4"/>
        </w:numPr>
        <w:spacing w:after="120" w:line="240" w:lineRule="auto"/>
        <w:contextualSpacing w:val="0"/>
        <w:rPr>
          <w:rFonts w:ascii="Arial" w:hAnsi="Arial" w:cs="Arial"/>
        </w:rPr>
      </w:pPr>
      <w:r w:rsidRPr="00082A9B">
        <w:rPr>
          <w:rFonts w:ascii="Arial" w:hAnsi="Arial" w:cs="Arial"/>
        </w:rPr>
        <w:t xml:space="preserve">The number of children with Special Educational Needs and Disabilities and the complexity of needs has continued to grow and is forecast to continue growing. </w:t>
      </w:r>
      <w:r>
        <w:rPr>
          <w:rFonts w:ascii="Arial" w:hAnsi="Arial" w:cs="Arial"/>
        </w:rPr>
        <w:t>N</w:t>
      </w:r>
      <w:r w:rsidRPr="00082A9B">
        <w:rPr>
          <w:rFonts w:ascii="Arial" w:hAnsi="Arial" w:cs="Arial"/>
        </w:rPr>
        <w:t>ew developments in the last year</w:t>
      </w:r>
      <w:r>
        <w:rPr>
          <w:rFonts w:ascii="Arial" w:hAnsi="Arial" w:cs="Arial"/>
        </w:rPr>
        <w:t xml:space="preserve"> </w:t>
      </w:r>
      <w:r w:rsidRPr="00082A9B">
        <w:rPr>
          <w:rFonts w:ascii="Arial" w:hAnsi="Arial" w:cs="Arial"/>
        </w:rPr>
        <w:t>includ</w:t>
      </w:r>
      <w:r>
        <w:rPr>
          <w:rFonts w:ascii="Arial" w:hAnsi="Arial" w:cs="Arial"/>
        </w:rPr>
        <w:t>e</w:t>
      </w:r>
      <w:r w:rsidRPr="00082A9B">
        <w:rPr>
          <w:rFonts w:ascii="Arial" w:hAnsi="Arial" w:cs="Arial"/>
        </w:rPr>
        <w:t xml:space="preserve"> the opening of Additional Resource Provisions (ARPs) for Autism at Coppetts Wood and Chalgrove schools and an increase in the number of places post-16.  </w:t>
      </w:r>
      <w:r>
        <w:rPr>
          <w:rFonts w:ascii="Arial" w:hAnsi="Arial" w:cs="Arial"/>
        </w:rPr>
        <w:t>Work has begun on developing a new secondary ARP for Autism at Whitefield School, which is due to open in September 2019.</w:t>
      </w:r>
    </w:p>
    <w:p w14:paraId="0ADFC67D" w14:textId="77777777" w:rsidR="00E87F60" w:rsidRDefault="00E87F60" w:rsidP="0037531D">
      <w:pPr>
        <w:spacing w:after="120" w:line="240" w:lineRule="auto"/>
        <w:rPr>
          <w:rFonts w:ascii="Arial" w:hAnsi="Arial" w:cs="Arial"/>
          <w:b/>
        </w:rPr>
      </w:pPr>
      <w:r>
        <w:rPr>
          <w:rFonts w:ascii="Arial" w:hAnsi="Arial" w:cs="Arial"/>
          <w:b/>
        </w:rPr>
        <w:t>SEND</w:t>
      </w:r>
    </w:p>
    <w:p w14:paraId="45CE68E0" w14:textId="77777777" w:rsidR="003329C5" w:rsidRPr="003329C5" w:rsidRDefault="003329C5" w:rsidP="00A51784">
      <w:pPr>
        <w:pStyle w:val="ListParagraph"/>
        <w:numPr>
          <w:ilvl w:val="0"/>
          <w:numId w:val="18"/>
        </w:numPr>
        <w:spacing w:after="120" w:line="240" w:lineRule="auto"/>
        <w:contextualSpacing w:val="0"/>
        <w:rPr>
          <w:rFonts w:ascii="Arial" w:hAnsi="Arial" w:cs="Arial"/>
        </w:rPr>
      </w:pPr>
      <w:r w:rsidRPr="003329C5">
        <w:rPr>
          <w:rFonts w:ascii="Arial" w:hAnsi="Arial" w:cs="Arial"/>
        </w:rPr>
        <w:t xml:space="preserve">All SEN Statements were converted to Education, Health and Care Plan by the national target date of March 2018.  </w:t>
      </w:r>
    </w:p>
    <w:p w14:paraId="1A9A2D72" w14:textId="77777777" w:rsidR="003329C5" w:rsidRPr="003329C5" w:rsidRDefault="00875AE2" w:rsidP="00A51784">
      <w:pPr>
        <w:pStyle w:val="ListParagraph"/>
        <w:numPr>
          <w:ilvl w:val="0"/>
          <w:numId w:val="18"/>
        </w:numPr>
        <w:spacing w:after="120" w:line="240" w:lineRule="auto"/>
        <w:contextualSpacing w:val="0"/>
        <w:rPr>
          <w:rFonts w:ascii="Arial" w:hAnsi="Arial" w:cs="Arial"/>
        </w:rPr>
      </w:pPr>
      <w:r w:rsidRPr="003329C5">
        <w:rPr>
          <w:rFonts w:ascii="Arial" w:hAnsi="Arial" w:cs="Arial"/>
        </w:rPr>
        <w:t xml:space="preserve">Education, Health and Care Plan assessments have been completed in 20 weeks throughout 2018-19 (excluding allowable exceptions caused by schools being closed over the summer holiday period).  A new </w:t>
      </w:r>
      <w:r w:rsidR="003329C5" w:rsidRPr="003329C5">
        <w:rPr>
          <w:rFonts w:ascii="Arial" w:hAnsi="Arial" w:cs="Arial"/>
        </w:rPr>
        <w:t>quality assurance process for improving the quality of plans was introduced.</w:t>
      </w:r>
    </w:p>
    <w:p w14:paraId="27CE409D" w14:textId="77777777" w:rsidR="003329C5" w:rsidRPr="003329C5" w:rsidRDefault="003329C5" w:rsidP="00A51784">
      <w:pPr>
        <w:pStyle w:val="ListParagraph"/>
        <w:numPr>
          <w:ilvl w:val="0"/>
          <w:numId w:val="18"/>
        </w:numPr>
        <w:spacing w:after="120" w:line="240" w:lineRule="auto"/>
        <w:contextualSpacing w:val="0"/>
        <w:rPr>
          <w:rFonts w:ascii="Arial" w:hAnsi="Arial" w:cs="Arial"/>
        </w:rPr>
      </w:pPr>
      <w:r w:rsidRPr="003329C5">
        <w:rPr>
          <w:rFonts w:ascii="Arial" w:hAnsi="Arial" w:cs="Arial"/>
        </w:rPr>
        <w:t xml:space="preserve">Major progress has been made in </w:t>
      </w:r>
      <w:r w:rsidR="00875AE2" w:rsidRPr="003329C5">
        <w:rPr>
          <w:rFonts w:ascii="Arial" w:hAnsi="Arial" w:cs="Arial"/>
        </w:rPr>
        <w:t>ensur</w:t>
      </w:r>
      <w:r w:rsidRPr="003329C5">
        <w:rPr>
          <w:rFonts w:ascii="Arial" w:hAnsi="Arial" w:cs="Arial"/>
        </w:rPr>
        <w:t>ing</w:t>
      </w:r>
      <w:r w:rsidR="00875AE2" w:rsidRPr="003329C5">
        <w:rPr>
          <w:rFonts w:ascii="Arial" w:hAnsi="Arial" w:cs="Arial"/>
        </w:rPr>
        <w:t xml:space="preserve"> engagement with stakeholders in SEN processes and decision-making.</w:t>
      </w:r>
      <w:r w:rsidRPr="003329C5">
        <w:rPr>
          <w:rFonts w:ascii="Arial" w:hAnsi="Arial" w:cs="Arial"/>
        </w:rPr>
        <w:t xml:space="preserve">  Co-production has become a key part of EHCP assessments, the delivery of strategic plans and the development of the Local Offer.</w:t>
      </w:r>
      <w:r w:rsidR="00733121">
        <w:rPr>
          <w:rFonts w:ascii="Arial" w:hAnsi="Arial" w:cs="Arial"/>
        </w:rPr>
        <w:t xml:space="preserve">  A new Local Offer was launched in 2018.</w:t>
      </w:r>
    </w:p>
    <w:p w14:paraId="2E91847A" w14:textId="77777777" w:rsidR="003329C5" w:rsidRDefault="003329C5" w:rsidP="00A51784">
      <w:pPr>
        <w:pStyle w:val="ListParagraph"/>
        <w:numPr>
          <w:ilvl w:val="0"/>
          <w:numId w:val="18"/>
        </w:numPr>
        <w:spacing w:after="120" w:line="240" w:lineRule="auto"/>
        <w:contextualSpacing w:val="0"/>
        <w:rPr>
          <w:rFonts w:ascii="Arial" w:hAnsi="Arial" w:cs="Arial"/>
        </w:rPr>
      </w:pPr>
      <w:r w:rsidRPr="003329C5">
        <w:rPr>
          <w:rFonts w:ascii="Arial" w:hAnsi="Arial" w:cs="Arial"/>
        </w:rPr>
        <w:t xml:space="preserve">Improvement have been made to joint </w:t>
      </w:r>
      <w:r w:rsidR="00875AE2" w:rsidRPr="003329C5">
        <w:rPr>
          <w:rFonts w:ascii="Arial" w:hAnsi="Arial" w:cs="Arial"/>
        </w:rPr>
        <w:t>working across partner agencies in order to deliver high quality integrated services to children and young people with SEND.</w:t>
      </w:r>
    </w:p>
    <w:p w14:paraId="1F941410" w14:textId="77777777" w:rsidR="003329C5" w:rsidRDefault="003329C5" w:rsidP="00A51784">
      <w:pPr>
        <w:pStyle w:val="ListParagraph"/>
        <w:numPr>
          <w:ilvl w:val="0"/>
          <w:numId w:val="18"/>
        </w:numPr>
        <w:spacing w:after="120" w:line="240" w:lineRule="auto"/>
        <w:contextualSpacing w:val="0"/>
        <w:rPr>
          <w:rFonts w:ascii="Arial" w:hAnsi="Arial" w:cs="Arial"/>
        </w:rPr>
      </w:pPr>
      <w:r>
        <w:rPr>
          <w:rFonts w:ascii="Arial" w:hAnsi="Arial" w:cs="Arial"/>
        </w:rPr>
        <w:t xml:space="preserve">As indicated above, new ARP provisions have been planned and developed.  </w:t>
      </w:r>
    </w:p>
    <w:p w14:paraId="0ED27831" w14:textId="77777777" w:rsidR="0037531D" w:rsidRPr="003329C5" w:rsidRDefault="003329C5" w:rsidP="00A51784">
      <w:pPr>
        <w:pStyle w:val="ListParagraph"/>
        <w:numPr>
          <w:ilvl w:val="0"/>
          <w:numId w:val="18"/>
        </w:numPr>
        <w:spacing w:after="120" w:line="240" w:lineRule="auto"/>
        <w:contextualSpacing w:val="0"/>
        <w:rPr>
          <w:rFonts w:ascii="Arial" w:hAnsi="Arial" w:cs="Arial"/>
          <w:b/>
        </w:rPr>
      </w:pPr>
      <w:r w:rsidRPr="003329C5">
        <w:rPr>
          <w:rFonts w:ascii="Arial" w:eastAsia="Times New Roman" w:hAnsi="Arial" w:cs="Arial"/>
          <w:lang w:eastAsia="en-GB"/>
        </w:rPr>
        <w:t xml:space="preserve">Children and young people with SEND do well in comparison to statistical neighbours and national averages and achievement in the top 10% nationally.  Pupils supported at SEN Support do exceptionally well.  </w:t>
      </w:r>
    </w:p>
    <w:p w14:paraId="3B59A321" w14:textId="77777777" w:rsidR="007854C0" w:rsidRPr="006017FB" w:rsidRDefault="007854C0" w:rsidP="0037531D">
      <w:pPr>
        <w:spacing w:after="120" w:line="240" w:lineRule="auto"/>
        <w:rPr>
          <w:rFonts w:ascii="Arial" w:hAnsi="Arial" w:cs="Arial"/>
          <w:b/>
        </w:rPr>
      </w:pPr>
      <w:r w:rsidRPr="006017FB">
        <w:rPr>
          <w:rFonts w:ascii="Arial" w:hAnsi="Arial" w:cs="Arial"/>
          <w:b/>
        </w:rPr>
        <w:t>Delivery through partnership</w:t>
      </w:r>
    </w:p>
    <w:p w14:paraId="78D3ECB8" w14:textId="77777777" w:rsidR="0092655F" w:rsidRDefault="007854C0" w:rsidP="0037531D">
      <w:pPr>
        <w:spacing w:after="120" w:line="240" w:lineRule="auto"/>
        <w:jc w:val="both"/>
        <w:rPr>
          <w:rFonts w:ascii="Arial" w:hAnsi="Arial" w:cs="Arial"/>
        </w:rPr>
      </w:pPr>
      <w:r w:rsidRPr="006017FB">
        <w:rPr>
          <w:rFonts w:ascii="Arial" w:hAnsi="Arial" w:cs="Arial"/>
        </w:rPr>
        <w:t>Whilst the role of local authorities in education</w:t>
      </w:r>
      <w:r w:rsidR="00082A9B">
        <w:rPr>
          <w:rFonts w:ascii="Arial" w:hAnsi="Arial" w:cs="Arial"/>
        </w:rPr>
        <w:t xml:space="preserve"> has</w:t>
      </w:r>
      <w:r w:rsidRPr="006017FB">
        <w:rPr>
          <w:rFonts w:ascii="Arial" w:hAnsi="Arial" w:cs="Arial"/>
        </w:rPr>
        <w:t xml:space="preserve"> chang</w:t>
      </w:r>
      <w:r w:rsidR="00082A9B">
        <w:rPr>
          <w:rFonts w:ascii="Arial" w:hAnsi="Arial" w:cs="Arial"/>
        </w:rPr>
        <w:t>ed in recent years</w:t>
      </w:r>
      <w:r w:rsidRPr="006017FB">
        <w:rPr>
          <w:rFonts w:ascii="Arial" w:hAnsi="Arial" w:cs="Arial"/>
        </w:rPr>
        <w:t xml:space="preserve">, </w:t>
      </w:r>
      <w:r w:rsidR="00082A9B">
        <w:rPr>
          <w:rFonts w:ascii="Arial" w:hAnsi="Arial" w:cs="Arial"/>
        </w:rPr>
        <w:t>the council</w:t>
      </w:r>
      <w:r w:rsidRPr="006017FB">
        <w:rPr>
          <w:rFonts w:ascii="Arial" w:hAnsi="Arial" w:cs="Arial"/>
        </w:rPr>
        <w:t xml:space="preserve"> is determined to continue to champion the quality of education for its children and young people, working in partnership with all local education providers, parents and key partners. </w:t>
      </w:r>
    </w:p>
    <w:p w14:paraId="752D56D6" w14:textId="77777777" w:rsidR="007854C0" w:rsidRPr="006017FB" w:rsidRDefault="007854C0" w:rsidP="0037531D">
      <w:pPr>
        <w:spacing w:after="120" w:line="240" w:lineRule="auto"/>
        <w:jc w:val="both"/>
        <w:rPr>
          <w:rFonts w:ascii="Arial" w:hAnsi="Arial" w:cs="Arial"/>
        </w:rPr>
      </w:pPr>
      <w:r w:rsidRPr="006017FB">
        <w:rPr>
          <w:rFonts w:ascii="Arial" w:hAnsi="Arial" w:cs="Arial"/>
        </w:rPr>
        <w:t>Some of the key recent partnership developments include:</w:t>
      </w:r>
    </w:p>
    <w:p w14:paraId="676943A7" w14:textId="77777777" w:rsidR="007854C0" w:rsidRDefault="00CF61BC" w:rsidP="00A51784">
      <w:pPr>
        <w:pStyle w:val="ListParagraph"/>
        <w:numPr>
          <w:ilvl w:val="0"/>
          <w:numId w:val="4"/>
        </w:numPr>
        <w:spacing w:after="120" w:line="240" w:lineRule="auto"/>
        <w:contextualSpacing w:val="0"/>
        <w:rPr>
          <w:rFonts w:ascii="Arial" w:hAnsi="Arial" w:cs="Arial"/>
        </w:rPr>
      </w:pPr>
      <w:r>
        <w:rPr>
          <w:rFonts w:ascii="Arial" w:hAnsi="Arial" w:cs="Arial"/>
        </w:rPr>
        <w:t xml:space="preserve">The embedding of </w:t>
      </w:r>
      <w:r w:rsidR="007854C0" w:rsidRPr="006017FB">
        <w:rPr>
          <w:rFonts w:ascii="Arial" w:hAnsi="Arial" w:cs="Arial"/>
        </w:rPr>
        <w:t>school improvement partnerships,</w:t>
      </w:r>
      <w:r>
        <w:rPr>
          <w:rFonts w:ascii="Arial" w:hAnsi="Arial" w:cs="Arial"/>
        </w:rPr>
        <w:t xml:space="preserve"> the</w:t>
      </w:r>
      <w:r w:rsidR="007854C0" w:rsidRPr="006017FB">
        <w:rPr>
          <w:rFonts w:ascii="Arial" w:hAnsi="Arial" w:cs="Arial"/>
        </w:rPr>
        <w:t xml:space="preserve"> bringing together</w:t>
      </w:r>
      <w:r>
        <w:rPr>
          <w:rFonts w:ascii="Arial" w:hAnsi="Arial" w:cs="Arial"/>
        </w:rPr>
        <w:t xml:space="preserve"> of</w:t>
      </w:r>
      <w:r w:rsidR="007854C0" w:rsidRPr="006017FB">
        <w:rPr>
          <w:rFonts w:ascii="Arial" w:hAnsi="Arial" w:cs="Arial"/>
        </w:rPr>
        <w:t xml:space="preserve"> the diverse range of education providers across primary and secondary phase helping to ensure that best practice, resources and responsibility for the quality of teaching and learning in schools is shared across the partnership. As a result, schools are increasingly taking the lead to support and challenge each other to drive improvement.</w:t>
      </w:r>
    </w:p>
    <w:p w14:paraId="4C555DDF" w14:textId="77777777" w:rsidR="00CF61BC" w:rsidRDefault="00CF61BC" w:rsidP="00A51784">
      <w:pPr>
        <w:pStyle w:val="ListParagraph"/>
        <w:numPr>
          <w:ilvl w:val="0"/>
          <w:numId w:val="4"/>
        </w:numPr>
        <w:spacing w:after="120" w:line="240" w:lineRule="auto"/>
        <w:contextualSpacing w:val="0"/>
        <w:rPr>
          <w:rFonts w:ascii="Arial" w:hAnsi="Arial" w:cs="Arial"/>
        </w:rPr>
      </w:pPr>
      <w:r>
        <w:rPr>
          <w:rFonts w:ascii="Arial" w:hAnsi="Arial" w:cs="Arial"/>
        </w:rPr>
        <w:t>Funding from the DfE’s Strategic School Improvement Fund (SSIF) has supported 9 schools in the raising of achievement of disadvantaged pupils and other vulnerable groups</w:t>
      </w:r>
    </w:p>
    <w:p w14:paraId="01FF05B0" w14:textId="77777777" w:rsidR="00CF61BC" w:rsidRDefault="009D05E2" w:rsidP="00A51784">
      <w:pPr>
        <w:pStyle w:val="ListParagraph"/>
        <w:numPr>
          <w:ilvl w:val="0"/>
          <w:numId w:val="4"/>
        </w:numPr>
        <w:spacing w:after="120" w:line="240" w:lineRule="auto"/>
        <w:contextualSpacing w:val="0"/>
        <w:rPr>
          <w:rFonts w:ascii="Arial" w:hAnsi="Arial" w:cs="Arial"/>
        </w:rPr>
      </w:pPr>
      <w:r>
        <w:rPr>
          <w:rFonts w:ascii="Arial" w:hAnsi="Arial" w:cs="Arial"/>
        </w:rPr>
        <w:t>5 partnerships involving 21</w:t>
      </w:r>
      <w:r w:rsidR="00CF61BC">
        <w:rPr>
          <w:rFonts w:ascii="Arial" w:hAnsi="Arial" w:cs="Arial"/>
        </w:rPr>
        <w:t xml:space="preserve"> schools benefitting from the </w:t>
      </w:r>
      <w:r>
        <w:rPr>
          <w:rFonts w:ascii="Arial" w:hAnsi="Arial" w:cs="Arial"/>
        </w:rPr>
        <w:t>Education Development Trust Peer Review model</w:t>
      </w:r>
      <w:r w:rsidR="00CF61BC">
        <w:rPr>
          <w:rFonts w:ascii="Arial" w:hAnsi="Arial" w:cs="Arial"/>
        </w:rPr>
        <w:t>, partly funded by the Education Endowment Fund</w:t>
      </w:r>
    </w:p>
    <w:p w14:paraId="2F89E3F7" w14:textId="77777777" w:rsidR="009D05E2" w:rsidRPr="006017FB" w:rsidRDefault="009D05E2" w:rsidP="00A51784">
      <w:pPr>
        <w:pStyle w:val="ListParagraph"/>
        <w:numPr>
          <w:ilvl w:val="0"/>
          <w:numId w:val="4"/>
        </w:numPr>
        <w:spacing w:after="120" w:line="240" w:lineRule="auto"/>
        <w:contextualSpacing w:val="0"/>
        <w:rPr>
          <w:rFonts w:ascii="Arial" w:hAnsi="Arial" w:cs="Arial"/>
        </w:rPr>
      </w:pPr>
      <w:r>
        <w:rPr>
          <w:rFonts w:ascii="Arial" w:hAnsi="Arial" w:cs="Arial"/>
        </w:rPr>
        <w:t xml:space="preserve">A greater number of schools looking to work in a more formal partnership with another school e.g. Brunswick Park and Church Hill Federation, </w:t>
      </w:r>
      <w:proofErr w:type="spellStart"/>
      <w:r>
        <w:rPr>
          <w:rFonts w:ascii="Arial" w:hAnsi="Arial" w:cs="Arial"/>
        </w:rPr>
        <w:t>Rimon</w:t>
      </w:r>
      <w:proofErr w:type="spellEnd"/>
      <w:r>
        <w:rPr>
          <w:rFonts w:ascii="Arial" w:hAnsi="Arial" w:cs="Arial"/>
        </w:rPr>
        <w:t xml:space="preserve"> and Sacks Morasha joining the Jewish Community Academy Trust (JCAT)</w:t>
      </w:r>
    </w:p>
    <w:p w14:paraId="57FB48F5" w14:textId="77777777" w:rsidR="007854C0" w:rsidRPr="009D02FF" w:rsidRDefault="009D02FF" w:rsidP="00A51784">
      <w:pPr>
        <w:pStyle w:val="ListParagraph"/>
        <w:numPr>
          <w:ilvl w:val="0"/>
          <w:numId w:val="4"/>
        </w:numPr>
        <w:spacing w:after="120" w:line="240" w:lineRule="auto"/>
        <w:contextualSpacing w:val="0"/>
        <w:rPr>
          <w:rFonts w:ascii="Arial" w:hAnsi="Arial" w:cs="Arial"/>
        </w:rPr>
      </w:pPr>
      <w:r w:rsidRPr="009D02FF">
        <w:rPr>
          <w:rFonts w:ascii="Arial" w:hAnsi="Arial" w:cs="Arial"/>
        </w:rPr>
        <w:t>The AP Barnet Mult</w:t>
      </w:r>
      <w:r w:rsidR="007854C0" w:rsidRPr="009D02FF">
        <w:rPr>
          <w:rFonts w:ascii="Arial" w:hAnsi="Arial" w:cs="Arial"/>
        </w:rPr>
        <w:t>i-Academy T</w:t>
      </w:r>
      <w:r w:rsidR="00043EDD" w:rsidRPr="009D02FF">
        <w:rPr>
          <w:rFonts w:ascii="Arial" w:hAnsi="Arial" w:cs="Arial"/>
        </w:rPr>
        <w:t xml:space="preserve">rust </w:t>
      </w:r>
      <w:r w:rsidRPr="009D02FF">
        <w:rPr>
          <w:rFonts w:ascii="Arial" w:hAnsi="Arial" w:cs="Arial"/>
        </w:rPr>
        <w:t>was established on 1</w:t>
      </w:r>
      <w:r w:rsidRPr="009D02FF">
        <w:rPr>
          <w:rFonts w:ascii="Arial" w:hAnsi="Arial" w:cs="Arial"/>
          <w:vertAlign w:val="superscript"/>
        </w:rPr>
        <w:t>st</w:t>
      </w:r>
      <w:r w:rsidRPr="009D02FF">
        <w:rPr>
          <w:rFonts w:ascii="Arial" w:hAnsi="Arial" w:cs="Arial"/>
        </w:rPr>
        <w:t xml:space="preserve"> May 2017 with Oak Hill Special Academy (previously an ARP attached to Mill Hill County High School) becoming the first school to join.  The MAT is a </w:t>
      </w:r>
      <w:r w:rsidR="007854C0" w:rsidRPr="009D02FF">
        <w:rPr>
          <w:rFonts w:ascii="Arial" w:hAnsi="Arial" w:cs="Arial"/>
        </w:rPr>
        <w:t xml:space="preserve">partnership </w:t>
      </w:r>
      <w:r>
        <w:rPr>
          <w:rFonts w:ascii="Arial" w:hAnsi="Arial" w:cs="Arial"/>
        </w:rPr>
        <w:t xml:space="preserve">of Barnet schools with various schools represented on the Trust Board.  The MAT aims </w:t>
      </w:r>
      <w:r w:rsidR="007854C0" w:rsidRPr="009D02FF">
        <w:rPr>
          <w:rFonts w:ascii="Arial" w:hAnsi="Arial" w:cs="Arial"/>
        </w:rPr>
        <w:t xml:space="preserve">to develop and improve the alternative education offer in Barnet and provision for young people with social, emotional and mental health needs, </w:t>
      </w:r>
      <w:r>
        <w:rPr>
          <w:rFonts w:ascii="Arial" w:hAnsi="Arial" w:cs="Arial"/>
        </w:rPr>
        <w:t xml:space="preserve">eventually </w:t>
      </w:r>
      <w:r w:rsidR="007854C0" w:rsidRPr="009D02FF">
        <w:rPr>
          <w:rFonts w:ascii="Arial" w:hAnsi="Arial" w:cs="Arial"/>
        </w:rPr>
        <w:t xml:space="preserve">bringing together existing provision at Oak Hill, Northgate and the Pavilion PRU that can be </w:t>
      </w:r>
      <w:r w:rsidR="00A738A8" w:rsidRPr="009D02FF">
        <w:rPr>
          <w:rFonts w:ascii="Arial" w:hAnsi="Arial" w:cs="Arial"/>
        </w:rPr>
        <w:t>commissioned to</w:t>
      </w:r>
      <w:r w:rsidR="007854C0" w:rsidRPr="009D02FF">
        <w:rPr>
          <w:rFonts w:ascii="Arial" w:hAnsi="Arial" w:cs="Arial"/>
        </w:rPr>
        <w:t xml:space="preserve"> respond to the needs of Barnet’s schools</w:t>
      </w:r>
      <w:r w:rsidR="00010DED" w:rsidRPr="009D02FF">
        <w:rPr>
          <w:rFonts w:ascii="Arial" w:hAnsi="Arial" w:cs="Arial"/>
        </w:rPr>
        <w:t xml:space="preserve"> and to offer appropriate post-16 pathways</w:t>
      </w:r>
      <w:r w:rsidR="007854C0" w:rsidRPr="009D02FF">
        <w:rPr>
          <w:rFonts w:ascii="Arial" w:hAnsi="Arial" w:cs="Arial"/>
        </w:rPr>
        <w:t>.</w:t>
      </w:r>
      <w:r>
        <w:rPr>
          <w:rFonts w:ascii="Arial" w:hAnsi="Arial" w:cs="Arial"/>
        </w:rPr>
        <w:t xml:space="preserve"> Progress has been during 2019 on the planned re-building of the Pavilion PRU and on concluding a lease with the NHS for Northgate School.  </w:t>
      </w:r>
    </w:p>
    <w:p w14:paraId="5E2AC1C2" w14:textId="77777777" w:rsidR="007854C0" w:rsidRPr="00D7240D" w:rsidRDefault="007854C0" w:rsidP="00A51784">
      <w:pPr>
        <w:pStyle w:val="ListParagraph"/>
        <w:numPr>
          <w:ilvl w:val="0"/>
          <w:numId w:val="5"/>
        </w:numPr>
        <w:spacing w:after="120" w:line="240" w:lineRule="auto"/>
        <w:ind w:left="360"/>
        <w:contextualSpacing w:val="0"/>
        <w:rPr>
          <w:rFonts w:ascii="Arial" w:hAnsi="Arial" w:cs="Arial"/>
        </w:rPr>
      </w:pPr>
      <w:r w:rsidRPr="00D7240D">
        <w:rPr>
          <w:rFonts w:ascii="Arial" w:hAnsi="Arial" w:cs="Arial"/>
        </w:rPr>
        <w:t xml:space="preserve">Schools have </w:t>
      </w:r>
      <w:r w:rsidR="00D7240D">
        <w:rPr>
          <w:rFonts w:ascii="Arial" w:hAnsi="Arial" w:cs="Arial"/>
        </w:rPr>
        <w:t xml:space="preserve">continued to make use of the </w:t>
      </w:r>
      <w:r w:rsidRPr="00D7240D">
        <w:rPr>
          <w:rFonts w:ascii="Arial" w:hAnsi="Arial" w:cs="Arial"/>
        </w:rPr>
        <w:t>data analysis tool to identify early those pupils at most risk of not engaging with education, employment or training (NEET) when they leave school. This has enabled</w:t>
      </w:r>
      <w:r w:rsidRPr="00D7240D">
        <w:rPr>
          <w:rFonts w:ascii="Arial" w:eastAsia="Calibri" w:hAnsi="Arial" w:cs="Arial"/>
          <w:lang w:eastAsia="en-GB"/>
        </w:rPr>
        <w:t xml:space="preserve"> </w:t>
      </w:r>
      <w:r w:rsidRPr="00D7240D">
        <w:rPr>
          <w:rFonts w:ascii="Arial" w:hAnsi="Arial" w:cs="Arial"/>
        </w:rPr>
        <w:t xml:space="preserve">the delivery of targeted programmes and individualised support to help this cohort to remain engaged. Barnet and Southgate College has </w:t>
      </w:r>
      <w:r w:rsidR="00D7240D">
        <w:rPr>
          <w:rFonts w:ascii="Arial" w:hAnsi="Arial" w:cs="Arial"/>
        </w:rPr>
        <w:t>also</w:t>
      </w:r>
      <w:r w:rsidRPr="00D7240D">
        <w:rPr>
          <w:rFonts w:ascii="Arial" w:hAnsi="Arial" w:cs="Arial"/>
        </w:rPr>
        <w:t xml:space="preserve"> develop</w:t>
      </w:r>
      <w:r w:rsidR="00D7240D">
        <w:rPr>
          <w:rFonts w:ascii="Arial" w:hAnsi="Arial" w:cs="Arial"/>
        </w:rPr>
        <w:t>ed</w:t>
      </w:r>
      <w:r w:rsidRPr="00D7240D">
        <w:rPr>
          <w:rFonts w:ascii="Arial" w:hAnsi="Arial" w:cs="Arial"/>
        </w:rPr>
        <w:t xml:space="preserve"> a college Risk of NEET Indicator, the first in the country for a Further Education provider. </w:t>
      </w:r>
      <w:r w:rsidR="00D7240D">
        <w:rPr>
          <w:rFonts w:ascii="Arial" w:hAnsi="Arial" w:cs="Arial"/>
        </w:rPr>
        <w:t xml:space="preserve"> </w:t>
      </w:r>
      <w:r w:rsidRPr="00D7240D">
        <w:rPr>
          <w:rFonts w:ascii="Arial" w:hAnsi="Arial" w:cs="Arial"/>
        </w:rPr>
        <w:tab/>
      </w:r>
    </w:p>
    <w:p w14:paraId="295818C1" w14:textId="77777777" w:rsidR="007854C0" w:rsidRDefault="00D7240D" w:rsidP="00A51784">
      <w:pPr>
        <w:pStyle w:val="ListParagraph"/>
        <w:numPr>
          <w:ilvl w:val="0"/>
          <w:numId w:val="5"/>
        </w:numPr>
        <w:spacing w:after="120" w:line="240" w:lineRule="auto"/>
        <w:ind w:left="357" w:hanging="357"/>
        <w:contextualSpacing w:val="0"/>
        <w:rPr>
          <w:rFonts w:ascii="Arial" w:hAnsi="Arial" w:cs="Arial"/>
        </w:rPr>
      </w:pPr>
      <w:r>
        <w:rPr>
          <w:rFonts w:ascii="Arial" w:hAnsi="Arial" w:cs="Arial"/>
        </w:rPr>
        <w:t>The</w:t>
      </w:r>
      <w:r w:rsidR="007854C0">
        <w:rPr>
          <w:rFonts w:ascii="Arial" w:hAnsi="Arial" w:cs="Arial"/>
        </w:rPr>
        <w:t xml:space="preserve"> </w:t>
      </w:r>
      <w:r w:rsidR="007854C0" w:rsidRPr="005650C8">
        <w:rPr>
          <w:rFonts w:ascii="Arial" w:hAnsi="Arial" w:cs="Arial"/>
        </w:rPr>
        <w:t xml:space="preserve">Virtual </w:t>
      </w:r>
      <w:r w:rsidR="007854C0">
        <w:rPr>
          <w:rFonts w:ascii="Arial" w:hAnsi="Arial" w:cs="Arial"/>
        </w:rPr>
        <w:t>S</w:t>
      </w:r>
      <w:r w:rsidR="007854C0" w:rsidRPr="005650C8">
        <w:rPr>
          <w:rFonts w:ascii="Arial" w:hAnsi="Arial" w:cs="Arial"/>
        </w:rPr>
        <w:t>chool</w:t>
      </w:r>
      <w:r w:rsidR="007854C0">
        <w:rPr>
          <w:rFonts w:ascii="Arial" w:hAnsi="Arial" w:cs="Arial"/>
        </w:rPr>
        <w:t xml:space="preserve">, supported by a Challenge Committee drawing on representation from schools and a range of partner agencies, </w:t>
      </w:r>
      <w:r>
        <w:rPr>
          <w:rFonts w:ascii="Arial" w:hAnsi="Arial" w:cs="Arial"/>
        </w:rPr>
        <w:t xml:space="preserve">works </w:t>
      </w:r>
      <w:r w:rsidR="007854C0">
        <w:rPr>
          <w:rFonts w:ascii="Arial" w:hAnsi="Arial" w:cs="Arial"/>
        </w:rPr>
        <w:t>to promote and support the progress and attainment of looked after children.</w:t>
      </w:r>
    </w:p>
    <w:p w14:paraId="33BA5F75" w14:textId="77777777" w:rsidR="00DC1C41" w:rsidRPr="00D952DC" w:rsidRDefault="00A14996" w:rsidP="00A51784">
      <w:pPr>
        <w:pStyle w:val="ListParagraph"/>
        <w:numPr>
          <w:ilvl w:val="0"/>
          <w:numId w:val="5"/>
        </w:numPr>
        <w:spacing w:after="120" w:line="240" w:lineRule="auto"/>
        <w:ind w:left="357" w:hanging="357"/>
        <w:contextualSpacing w:val="0"/>
        <w:rPr>
          <w:rFonts w:ascii="Arial" w:hAnsi="Arial" w:cs="Arial"/>
          <w:b/>
        </w:rPr>
      </w:pPr>
      <w:r w:rsidRPr="00D952DC">
        <w:rPr>
          <w:rFonts w:ascii="Arial" w:hAnsi="Arial" w:cs="Arial"/>
        </w:rPr>
        <w:t xml:space="preserve">Closer collaboration </w:t>
      </w:r>
      <w:r w:rsidR="00D7240D" w:rsidRPr="00D952DC">
        <w:rPr>
          <w:rFonts w:ascii="Arial" w:hAnsi="Arial" w:cs="Arial"/>
        </w:rPr>
        <w:t xml:space="preserve">continues </w:t>
      </w:r>
      <w:r w:rsidRPr="00D952DC">
        <w:rPr>
          <w:rFonts w:ascii="Arial" w:hAnsi="Arial" w:cs="Arial"/>
        </w:rPr>
        <w:t>between the Education and Skills service and Teaching Schools both within and outside Barnet to support teacher recruitment and school improvement.</w:t>
      </w:r>
    </w:p>
    <w:p w14:paraId="0FECDFF4" w14:textId="77777777" w:rsidR="00A92458" w:rsidRDefault="00A92458" w:rsidP="0037531D">
      <w:pPr>
        <w:spacing w:after="120" w:line="240" w:lineRule="auto"/>
        <w:rPr>
          <w:rFonts w:ascii="Arial" w:hAnsi="Arial" w:cs="Arial"/>
          <w:b/>
        </w:rPr>
      </w:pPr>
      <w:r>
        <w:rPr>
          <w:rFonts w:ascii="Arial" w:hAnsi="Arial" w:cs="Arial"/>
          <w:b/>
        </w:rPr>
        <w:br w:type="page"/>
      </w:r>
    </w:p>
    <w:p w14:paraId="0D583BF5" w14:textId="77777777" w:rsidR="0015172A" w:rsidRDefault="007854C0" w:rsidP="0037531D">
      <w:pPr>
        <w:spacing w:after="120" w:line="240" w:lineRule="auto"/>
        <w:jc w:val="right"/>
        <w:rPr>
          <w:rFonts w:ascii="Arial" w:hAnsi="Arial" w:cs="Arial"/>
          <w:b/>
        </w:rPr>
      </w:pPr>
      <w:r w:rsidRPr="007854C0">
        <w:rPr>
          <w:rFonts w:ascii="Arial" w:hAnsi="Arial" w:cs="Arial"/>
          <w:b/>
        </w:rPr>
        <w:t>Appendix 3</w:t>
      </w:r>
    </w:p>
    <w:p w14:paraId="0D00CED8" w14:textId="77777777" w:rsidR="00E87F60" w:rsidRDefault="00E87F60" w:rsidP="0037531D">
      <w:pPr>
        <w:spacing w:after="120" w:line="240" w:lineRule="auto"/>
        <w:jc w:val="center"/>
        <w:rPr>
          <w:rFonts w:ascii="Arial" w:hAnsi="Arial" w:cs="Arial"/>
          <w:b/>
        </w:rPr>
      </w:pPr>
      <w:r>
        <w:rPr>
          <w:rFonts w:ascii="Arial" w:hAnsi="Arial" w:cs="Arial"/>
          <w:b/>
        </w:rPr>
        <w:t>Priorities for 2019/20</w:t>
      </w:r>
    </w:p>
    <w:p w14:paraId="730BE7B8" w14:textId="77777777" w:rsidR="00E87F60" w:rsidRDefault="00E87F60" w:rsidP="00733121">
      <w:pPr>
        <w:spacing w:before="240" w:after="120" w:line="240" w:lineRule="auto"/>
        <w:rPr>
          <w:rFonts w:ascii="Arial" w:hAnsi="Arial" w:cs="Arial"/>
          <w:b/>
        </w:rPr>
      </w:pPr>
      <w:r>
        <w:rPr>
          <w:rFonts w:ascii="Arial" w:hAnsi="Arial" w:cs="Arial"/>
          <w:b/>
        </w:rPr>
        <w:t xml:space="preserve">School Places </w:t>
      </w:r>
      <w:r w:rsidRPr="00227372">
        <w:rPr>
          <w:rFonts w:ascii="Arial" w:hAnsi="Arial" w:cs="Arial"/>
          <w:b/>
        </w:rPr>
        <w:t>– strategic priorities</w:t>
      </w:r>
    </w:p>
    <w:p w14:paraId="2AC560FA" w14:textId="77777777" w:rsidR="00E87F60" w:rsidRPr="00DC1C41" w:rsidRDefault="00E87F60" w:rsidP="00A51784">
      <w:pPr>
        <w:pStyle w:val="ListParagraph"/>
        <w:numPr>
          <w:ilvl w:val="0"/>
          <w:numId w:val="6"/>
        </w:numPr>
        <w:spacing w:after="120" w:line="240" w:lineRule="auto"/>
        <w:ind w:left="357" w:hanging="357"/>
        <w:contextualSpacing w:val="0"/>
        <w:rPr>
          <w:rFonts w:ascii="Arial" w:hAnsi="Arial" w:cs="Arial"/>
        </w:rPr>
      </w:pPr>
      <w:r w:rsidRPr="00DC1C41">
        <w:rPr>
          <w:rFonts w:ascii="Arial" w:hAnsi="Arial" w:cs="Arial"/>
        </w:rPr>
        <w:t>Ensure sufficient early years places are available across the borough including sufficient childcare places providing 30 hours free entitlement</w:t>
      </w:r>
      <w:r>
        <w:rPr>
          <w:rFonts w:ascii="Arial" w:hAnsi="Arial" w:cs="Arial"/>
        </w:rPr>
        <w:t>.</w:t>
      </w:r>
      <w:r w:rsidRPr="00DC1C41">
        <w:rPr>
          <w:rFonts w:ascii="Arial" w:hAnsi="Arial" w:cs="Arial"/>
        </w:rPr>
        <w:t xml:space="preserve"> </w:t>
      </w:r>
    </w:p>
    <w:p w14:paraId="71261648" w14:textId="77777777" w:rsidR="00E87F60" w:rsidRPr="00DC1C41" w:rsidRDefault="00E87F60" w:rsidP="00A51784">
      <w:pPr>
        <w:pStyle w:val="ListParagraph"/>
        <w:numPr>
          <w:ilvl w:val="0"/>
          <w:numId w:val="6"/>
        </w:numPr>
        <w:spacing w:after="120" w:line="240" w:lineRule="auto"/>
        <w:ind w:left="357" w:hanging="357"/>
        <w:contextualSpacing w:val="0"/>
        <w:rPr>
          <w:rFonts w:ascii="Arial" w:hAnsi="Arial" w:cs="Arial"/>
        </w:rPr>
      </w:pPr>
      <w:r w:rsidRPr="00DC1C41">
        <w:rPr>
          <w:rFonts w:ascii="Arial" w:hAnsi="Arial" w:cs="Arial"/>
        </w:rPr>
        <w:t>Support the establishment of free schools to meet basic need at the primary</w:t>
      </w:r>
      <w:r>
        <w:rPr>
          <w:rFonts w:ascii="Arial" w:hAnsi="Arial" w:cs="Arial"/>
        </w:rPr>
        <w:t xml:space="preserve"> level (Saracen</w:t>
      </w:r>
      <w:r w:rsidRPr="00DC1C41">
        <w:rPr>
          <w:rFonts w:ascii="Arial" w:hAnsi="Arial" w:cs="Arial"/>
        </w:rPr>
        <w:t xml:space="preserve">s </w:t>
      </w:r>
      <w:r>
        <w:rPr>
          <w:rFonts w:ascii="Arial" w:hAnsi="Arial" w:cs="Arial"/>
        </w:rPr>
        <w:t xml:space="preserve">Primary </w:t>
      </w:r>
      <w:r w:rsidRPr="00DC1C41">
        <w:rPr>
          <w:rFonts w:ascii="Arial" w:hAnsi="Arial" w:cs="Arial"/>
        </w:rPr>
        <w:t>School</w:t>
      </w:r>
      <w:r>
        <w:rPr>
          <w:rFonts w:ascii="Arial" w:hAnsi="Arial" w:cs="Arial"/>
        </w:rPr>
        <w:t>)</w:t>
      </w:r>
      <w:r w:rsidRPr="00DC1C41">
        <w:rPr>
          <w:rFonts w:ascii="Arial" w:hAnsi="Arial" w:cs="Arial"/>
        </w:rPr>
        <w:t>.</w:t>
      </w:r>
    </w:p>
    <w:p w14:paraId="5D31C296" w14:textId="4773EF7B" w:rsidR="00E87F60" w:rsidRPr="004609C4" w:rsidRDefault="00E87F60" w:rsidP="00A51784">
      <w:pPr>
        <w:pStyle w:val="ListParagraph"/>
        <w:numPr>
          <w:ilvl w:val="0"/>
          <w:numId w:val="6"/>
        </w:numPr>
        <w:spacing w:after="120" w:line="240" w:lineRule="auto"/>
        <w:ind w:left="357" w:hanging="357"/>
        <w:contextualSpacing w:val="0"/>
        <w:rPr>
          <w:rFonts w:ascii="Arial" w:hAnsi="Arial" w:cs="Arial"/>
        </w:rPr>
      </w:pPr>
      <w:r w:rsidRPr="004609C4">
        <w:rPr>
          <w:rFonts w:ascii="Arial" w:hAnsi="Arial" w:cs="Arial"/>
        </w:rPr>
        <w:t xml:space="preserve">Support the establishment of The Windmill </w:t>
      </w:r>
      <w:r>
        <w:rPr>
          <w:rFonts w:ascii="Arial" w:hAnsi="Arial" w:cs="Arial"/>
        </w:rPr>
        <w:t>F</w:t>
      </w:r>
      <w:r w:rsidRPr="004609C4">
        <w:rPr>
          <w:rFonts w:ascii="Arial" w:hAnsi="Arial" w:cs="Arial"/>
        </w:rPr>
        <w:t xml:space="preserve">ree </w:t>
      </w:r>
      <w:r>
        <w:rPr>
          <w:rFonts w:ascii="Arial" w:hAnsi="Arial" w:cs="Arial"/>
        </w:rPr>
        <w:t>S</w:t>
      </w:r>
      <w:r w:rsidRPr="004609C4">
        <w:rPr>
          <w:rFonts w:ascii="Arial" w:hAnsi="Arial" w:cs="Arial"/>
        </w:rPr>
        <w:t xml:space="preserve">chool to meet the needs of children with SEN and the development of new ASC provision in primary and secondary </w:t>
      </w:r>
      <w:proofErr w:type="gramStart"/>
      <w:r w:rsidRPr="004609C4">
        <w:rPr>
          <w:rFonts w:ascii="Arial" w:hAnsi="Arial" w:cs="Arial"/>
        </w:rPr>
        <w:t xml:space="preserve">phases </w:t>
      </w:r>
      <w:r>
        <w:rPr>
          <w:rFonts w:ascii="Arial" w:hAnsi="Arial" w:cs="Arial"/>
        </w:rPr>
        <w:t xml:space="preserve"> (</w:t>
      </w:r>
      <w:proofErr w:type="gramEnd"/>
      <w:r>
        <w:rPr>
          <w:rFonts w:ascii="Arial" w:hAnsi="Arial" w:cs="Arial"/>
        </w:rPr>
        <w:t>including Whitefield).</w:t>
      </w:r>
    </w:p>
    <w:p w14:paraId="5902ED33" w14:textId="77777777" w:rsidR="00E87F60" w:rsidRPr="003C4A2E" w:rsidRDefault="00E87F60" w:rsidP="00A51784">
      <w:pPr>
        <w:pStyle w:val="ListParagraph"/>
        <w:numPr>
          <w:ilvl w:val="0"/>
          <w:numId w:val="6"/>
        </w:numPr>
        <w:spacing w:after="120" w:line="240" w:lineRule="auto"/>
        <w:ind w:left="357" w:hanging="357"/>
        <w:contextualSpacing w:val="0"/>
        <w:rPr>
          <w:rFonts w:ascii="Arial" w:hAnsi="Arial" w:cs="Arial"/>
        </w:rPr>
      </w:pPr>
      <w:r>
        <w:rPr>
          <w:rFonts w:ascii="Arial" w:hAnsi="Arial" w:cs="Arial"/>
        </w:rPr>
        <w:t>D</w:t>
      </w:r>
      <w:r w:rsidRPr="004609C4">
        <w:rPr>
          <w:rFonts w:ascii="Arial" w:hAnsi="Arial" w:cs="Arial"/>
        </w:rPr>
        <w:t>eliver the spectrum of support for alternative provision through the AP MAT, including the</w:t>
      </w:r>
      <w:r>
        <w:rPr>
          <w:rFonts w:ascii="Arial" w:hAnsi="Arial" w:cs="Arial"/>
        </w:rPr>
        <w:t xml:space="preserve"> r</w:t>
      </w:r>
      <w:r w:rsidRPr="003C4A2E">
        <w:rPr>
          <w:rFonts w:ascii="Arial" w:hAnsi="Arial" w:cs="Arial"/>
        </w:rPr>
        <w:t>ebuilding of the Pavilion PRU and the development of appropriate post-16 pathways.</w:t>
      </w:r>
    </w:p>
    <w:p w14:paraId="6052AF44" w14:textId="77777777" w:rsidR="00E87F60" w:rsidRPr="003C4A2E" w:rsidRDefault="00E87F60" w:rsidP="00A51784">
      <w:pPr>
        <w:pStyle w:val="ListParagraph"/>
        <w:numPr>
          <w:ilvl w:val="0"/>
          <w:numId w:val="6"/>
        </w:numPr>
        <w:spacing w:after="120" w:line="240" w:lineRule="auto"/>
        <w:ind w:left="357" w:hanging="357"/>
        <w:contextualSpacing w:val="0"/>
        <w:rPr>
          <w:rFonts w:ascii="Arial" w:hAnsi="Arial" w:cs="Arial"/>
        </w:rPr>
      </w:pPr>
      <w:r w:rsidRPr="003C4A2E">
        <w:rPr>
          <w:rFonts w:ascii="Arial" w:hAnsi="Arial" w:cs="Arial"/>
        </w:rPr>
        <w:t xml:space="preserve">The council, schools and other partners working together to create post-16 pathways through traineeships and other pre-apprenticeship programmes as a route into apprenticeships. </w:t>
      </w:r>
    </w:p>
    <w:p w14:paraId="5F1AB990" w14:textId="6E9A8B1C" w:rsidR="00E87F60" w:rsidRPr="003C4A2E" w:rsidRDefault="00E87F60" w:rsidP="003C4A2E">
      <w:pPr>
        <w:pStyle w:val="ListParagraph"/>
        <w:numPr>
          <w:ilvl w:val="0"/>
          <w:numId w:val="6"/>
        </w:numPr>
        <w:spacing w:after="120" w:line="240" w:lineRule="auto"/>
        <w:rPr>
          <w:rFonts w:ascii="Arial" w:hAnsi="Arial" w:cs="Arial"/>
          <w:b/>
        </w:rPr>
      </w:pPr>
      <w:r w:rsidRPr="003C4A2E">
        <w:rPr>
          <w:rFonts w:ascii="Arial" w:hAnsi="Arial" w:cs="Arial"/>
        </w:rPr>
        <w:t>Keep the financial sustainability of schools and groups of schools under review and work in partnership with schools to identify possible new school organisation or governance models, where needed to ensure ongoing financial resilience.</w:t>
      </w:r>
    </w:p>
    <w:p w14:paraId="1F4DBECD" w14:textId="77777777" w:rsidR="00227372" w:rsidRPr="00227372" w:rsidRDefault="00227372" w:rsidP="00733121">
      <w:pPr>
        <w:spacing w:before="240" w:after="120" w:line="240" w:lineRule="auto"/>
        <w:rPr>
          <w:rFonts w:ascii="Arial" w:hAnsi="Arial" w:cs="Arial"/>
          <w:b/>
        </w:rPr>
      </w:pPr>
      <w:r w:rsidRPr="00227372">
        <w:rPr>
          <w:rFonts w:ascii="Arial" w:hAnsi="Arial" w:cs="Arial"/>
          <w:b/>
        </w:rPr>
        <w:t>SEND and Inclusion – strategic priorities</w:t>
      </w:r>
    </w:p>
    <w:p w14:paraId="049D911F" w14:textId="77777777" w:rsidR="00227372" w:rsidRPr="002F701D" w:rsidRDefault="00256543" w:rsidP="002F701D">
      <w:pPr>
        <w:spacing w:after="120" w:line="240" w:lineRule="auto"/>
        <w:rPr>
          <w:rFonts w:ascii="Arial" w:hAnsi="Arial" w:cs="Arial"/>
        </w:rPr>
      </w:pPr>
      <w:r>
        <w:rPr>
          <w:rFonts w:ascii="Arial" w:hAnsi="Arial" w:cs="Arial"/>
        </w:rPr>
        <w:t xml:space="preserve">The </w:t>
      </w:r>
      <w:r w:rsidRPr="002F701D">
        <w:rPr>
          <w:rFonts w:ascii="Arial" w:hAnsi="Arial" w:cs="Arial"/>
        </w:rPr>
        <w:t>following priority areas for SEND have been agreed by the SEND Partnership Board:</w:t>
      </w:r>
    </w:p>
    <w:p w14:paraId="2BD51327" w14:textId="77777777" w:rsidR="00076F4C" w:rsidRPr="002F701D" w:rsidRDefault="00A92458" w:rsidP="00A51784">
      <w:pPr>
        <w:pStyle w:val="ListParagraph"/>
        <w:numPr>
          <w:ilvl w:val="0"/>
          <w:numId w:val="17"/>
        </w:numPr>
        <w:spacing w:after="120" w:line="240" w:lineRule="auto"/>
        <w:contextualSpacing w:val="0"/>
        <w:rPr>
          <w:rFonts w:ascii="Arial" w:hAnsi="Arial" w:cs="Arial"/>
        </w:rPr>
      </w:pPr>
      <w:r w:rsidRPr="002F701D">
        <w:rPr>
          <w:rFonts w:ascii="Arial" w:hAnsi="Arial" w:cs="Arial"/>
        </w:rPr>
        <w:t>Ensure that we are working in a Family Friendly way and co-production is central to our work</w:t>
      </w:r>
      <w:r w:rsidR="00CE5896">
        <w:rPr>
          <w:rFonts w:ascii="Arial" w:hAnsi="Arial" w:cs="Arial"/>
        </w:rPr>
        <w:t>.</w:t>
      </w:r>
    </w:p>
    <w:p w14:paraId="284C7E2F" w14:textId="1B6E6373" w:rsidR="002F701D" w:rsidRDefault="002F701D" w:rsidP="002F701D">
      <w:pPr>
        <w:pStyle w:val="ListParagraph"/>
        <w:spacing w:after="120" w:line="240" w:lineRule="auto"/>
        <w:ind w:left="360"/>
        <w:contextualSpacing w:val="0"/>
        <w:rPr>
          <w:rFonts w:ascii="Arial" w:hAnsi="Arial" w:cs="Arial"/>
        </w:rPr>
      </w:pPr>
      <w:r w:rsidRPr="002F701D">
        <w:rPr>
          <w:rFonts w:ascii="Arial" w:hAnsi="Arial" w:cs="Arial"/>
        </w:rPr>
        <w:t xml:space="preserve">This is in keeping with the key aspect of the child and their family being central to the SEN Code of Practice. </w:t>
      </w:r>
      <w:r>
        <w:rPr>
          <w:rFonts w:ascii="Arial" w:hAnsi="Arial" w:cs="Arial"/>
        </w:rPr>
        <w:t xml:space="preserve"> </w:t>
      </w:r>
    </w:p>
    <w:p w14:paraId="1991A1B3" w14:textId="77777777" w:rsidR="00076F4C" w:rsidRPr="002F701D" w:rsidRDefault="0037531D" w:rsidP="002F701D">
      <w:pPr>
        <w:pStyle w:val="ListParagraph"/>
        <w:spacing w:after="120" w:line="240" w:lineRule="auto"/>
        <w:ind w:left="360"/>
        <w:contextualSpacing w:val="0"/>
        <w:rPr>
          <w:rFonts w:ascii="Arial" w:hAnsi="Arial" w:cs="Arial"/>
        </w:rPr>
      </w:pPr>
      <w:r w:rsidRPr="002F701D">
        <w:rPr>
          <w:rFonts w:ascii="Arial" w:hAnsi="Arial" w:cs="Arial"/>
        </w:rPr>
        <w:t>We will continue to have a focus to maintain our high completion rate of new EHCP assessments in 20 weeks</w:t>
      </w:r>
      <w:r w:rsidR="002F701D">
        <w:rPr>
          <w:rFonts w:ascii="Arial" w:hAnsi="Arial" w:cs="Arial"/>
        </w:rPr>
        <w:t xml:space="preserve"> and we will </w:t>
      </w:r>
      <w:r w:rsidRPr="002F701D">
        <w:rPr>
          <w:rFonts w:ascii="Arial" w:hAnsi="Arial" w:cs="Arial"/>
        </w:rPr>
        <w:t xml:space="preserve">continue to </w:t>
      </w:r>
      <w:r w:rsidR="002F701D">
        <w:rPr>
          <w:rFonts w:ascii="Arial" w:hAnsi="Arial" w:cs="Arial"/>
        </w:rPr>
        <w:t xml:space="preserve">focus on </w:t>
      </w:r>
      <w:r w:rsidRPr="002F701D">
        <w:rPr>
          <w:rFonts w:ascii="Arial" w:hAnsi="Arial" w:cs="Arial"/>
        </w:rPr>
        <w:t>ensur</w:t>
      </w:r>
      <w:r w:rsidR="002F701D">
        <w:rPr>
          <w:rFonts w:ascii="Arial" w:hAnsi="Arial" w:cs="Arial"/>
        </w:rPr>
        <w:t>ing</w:t>
      </w:r>
      <w:r w:rsidRPr="002F701D">
        <w:rPr>
          <w:rFonts w:ascii="Arial" w:hAnsi="Arial" w:cs="Arial"/>
        </w:rPr>
        <w:t xml:space="preserve"> that EHCPs are of a consistently high quality, and useful to schools and settings, parent carers, young people and partner agencies</w:t>
      </w:r>
      <w:r w:rsidR="00076F4C" w:rsidRPr="002F701D">
        <w:rPr>
          <w:rFonts w:ascii="Arial" w:hAnsi="Arial" w:cs="Arial"/>
        </w:rPr>
        <w:t xml:space="preserve">.  </w:t>
      </w:r>
    </w:p>
    <w:p w14:paraId="02F51497" w14:textId="77777777" w:rsidR="00076F4C" w:rsidRPr="002F701D" w:rsidRDefault="00076F4C" w:rsidP="002F701D">
      <w:pPr>
        <w:pStyle w:val="ListParagraph"/>
        <w:spacing w:after="120" w:line="240" w:lineRule="auto"/>
        <w:ind w:left="360"/>
        <w:contextualSpacing w:val="0"/>
        <w:rPr>
          <w:rFonts w:ascii="Arial" w:hAnsi="Arial" w:cs="Arial"/>
        </w:rPr>
      </w:pPr>
      <w:r w:rsidRPr="002F701D">
        <w:rPr>
          <w:rFonts w:ascii="Arial" w:hAnsi="Arial" w:cs="Arial"/>
        </w:rPr>
        <w:t>Although improvements to the Local Offer have been made over the last 12 months, the content needs to be updated to include information from Health, Social Care, the Voluntary Sector and Education. Use of the Local Offer needs to be further embedded in day to day working and clear information needs to be readily available about what services offer, and who to contact for support.</w:t>
      </w:r>
    </w:p>
    <w:p w14:paraId="0F23A00D" w14:textId="77777777" w:rsidR="00076F4C" w:rsidRPr="002F701D" w:rsidRDefault="00A92458" w:rsidP="00A51784">
      <w:pPr>
        <w:pStyle w:val="ListParagraph"/>
        <w:numPr>
          <w:ilvl w:val="0"/>
          <w:numId w:val="17"/>
        </w:numPr>
        <w:spacing w:after="120" w:line="240" w:lineRule="auto"/>
        <w:contextualSpacing w:val="0"/>
        <w:rPr>
          <w:rFonts w:ascii="Arial" w:hAnsi="Arial" w:cs="Arial"/>
        </w:rPr>
      </w:pPr>
      <w:r w:rsidRPr="002F701D">
        <w:rPr>
          <w:rFonts w:ascii="Arial" w:hAnsi="Arial" w:cs="Arial"/>
        </w:rPr>
        <w:t>Ensure sufficient and high-quality provision in-borough for children and young people with complex needs, including Autistic Spectrum Conditions</w:t>
      </w:r>
      <w:r w:rsidR="00076F4C" w:rsidRPr="002F701D">
        <w:rPr>
          <w:rFonts w:ascii="Arial" w:hAnsi="Arial" w:cs="Arial"/>
        </w:rPr>
        <w:t>.</w:t>
      </w:r>
    </w:p>
    <w:p w14:paraId="64BFD93B" w14:textId="77777777" w:rsidR="002F701D" w:rsidRDefault="00076F4C" w:rsidP="002F701D">
      <w:pPr>
        <w:spacing w:after="120" w:line="240" w:lineRule="auto"/>
        <w:ind w:left="360"/>
        <w:rPr>
          <w:rFonts w:ascii="Arial" w:hAnsi="Arial" w:cs="Arial"/>
        </w:rPr>
      </w:pPr>
      <w:r w:rsidRPr="002F701D">
        <w:rPr>
          <w:rFonts w:ascii="Arial" w:hAnsi="Arial" w:cs="Arial"/>
        </w:rPr>
        <w:t xml:space="preserve">We need to undertake a needs analysis to inform planning of SEN provision across the borough to meet current and future needs.  Whenever possible, children and young people with SEND should have their educational needs met locally so that they can be active participants in their local community.  </w:t>
      </w:r>
    </w:p>
    <w:p w14:paraId="2EFD9A5B" w14:textId="77777777" w:rsidR="00076F4C" w:rsidRPr="002F701D" w:rsidRDefault="00A92458" w:rsidP="00A51784">
      <w:pPr>
        <w:pStyle w:val="ListParagraph"/>
        <w:numPr>
          <w:ilvl w:val="0"/>
          <w:numId w:val="17"/>
        </w:numPr>
        <w:spacing w:after="120" w:line="240" w:lineRule="auto"/>
        <w:rPr>
          <w:rFonts w:ascii="Arial" w:hAnsi="Arial" w:cs="Arial"/>
        </w:rPr>
      </w:pPr>
      <w:r w:rsidRPr="002F701D">
        <w:rPr>
          <w:rFonts w:ascii="Arial" w:hAnsi="Arial" w:cs="Arial"/>
        </w:rPr>
        <w:t>Ensure effective joint commissioning and integration of services from early years through to adulthood</w:t>
      </w:r>
      <w:r w:rsidR="00076F4C" w:rsidRPr="002F701D">
        <w:rPr>
          <w:rFonts w:ascii="Arial" w:hAnsi="Arial" w:cs="Arial"/>
        </w:rPr>
        <w:t>.</w:t>
      </w:r>
    </w:p>
    <w:p w14:paraId="52175A71" w14:textId="77777777" w:rsidR="00076F4C" w:rsidRPr="002F701D" w:rsidRDefault="00076F4C" w:rsidP="002F701D">
      <w:pPr>
        <w:spacing w:after="120" w:line="240" w:lineRule="auto"/>
        <w:ind w:left="360"/>
        <w:rPr>
          <w:rFonts w:ascii="Arial" w:hAnsi="Arial" w:cs="Arial"/>
        </w:rPr>
      </w:pPr>
      <w:r w:rsidRPr="002F701D">
        <w:rPr>
          <w:rFonts w:ascii="Arial" w:hAnsi="Arial" w:cs="Arial"/>
        </w:rPr>
        <w:t>We need to ensure effective working across partner agencies in order to deliver high quality integrated services to children and young people 0 – 25 years with SEND.  We need a clear Autism pathway for school aged children and post 18 years and there needs to be further work across services to ensure there is a clear pathway for children and young people 0 – 25 years with Social, Emotional and Mental Health (SEMH) needs.  Work based opportunities, including supported internships and apprenticeships will form part of a coherent post 16 pathway for SEND.</w:t>
      </w:r>
    </w:p>
    <w:p w14:paraId="64F58288" w14:textId="77777777" w:rsidR="00076F4C" w:rsidRPr="002F701D" w:rsidRDefault="00A92458" w:rsidP="00A51784">
      <w:pPr>
        <w:pStyle w:val="ListParagraph"/>
        <w:numPr>
          <w:ilvl w:val="0"/>
          <w:numId w:val="17"/>
        </w:numPr>
        <w:spacing w:after="120" w:line="240" w:lineRule="auto"/>
        <w:contextualSpacing w:val="0"/>
        <w:rPr>
          <w:rFonts w:ascii="Arial" w:hAnsi="Arial" w:cs="Arial"/>
        </w:rPr>
      </w:pPr>
      <w:r w:rsidRPr="002F701D">
        <w:rPr>
          <w:rFonts w:ascii="Arial" w:hAnsi="Arial" w:cs="Arial"/>
        </w:rPr>
        <w:t>In line with Resilient Schools, develop greater confidence, skills and competencies in mainstream schools and settings to meet the needs of children and young people with SEND.</w:t>
      </w:r>
    </w:p>
    <w:p w14:paraId="399D814F" w14:textId="77777777" w:rsidR="002F701D" w:rsidRPr="002F701D" w:rsidRDefault="002F701D" w:rsidP="002F701D">
      <w:pPr>
        <w:spacing w:after="120" w:line="240" w:lineRule="auto"/>
        <w:ind w:left="360"/>
        <w:rPr>
          <w:rFonts w:ascii="Arial" w:hAnsi="Arial" w:cs="Arial"/>
        </w:rPr>
      </w:pPr>
      <w:r>
        <w:rPr>
          <w:rFonts w:ascii="Arial" w:eastAsia="Times New Roman" w:hAnsi="Arial" w:cs="Arial"/>
          <w:lang w:eastAsia="en-GB"/>
        </w:rPr>
        <w:t>This</w:t>
      </w:r>
      <w:r w:rsidRPr="002F701D">
        <w:rPr>
          <w:rFonts w:ascii="Arial" w:eastAsia="Times New Roman" w:hAnsi="Arial" w:cs="Arial"/>
          <w:lang w:eastAsia="en-GB"/>
        </w:rPr>
        <w:t xml:space="preserve"> links to consistent feedback from parent carers and partners about the need for clarity about the ‘offer’ for children and young people with SEN, including those who have an EHC Plan and those whose needs can be met at SEN Support.  The Resilient Schools is part of this ‘offer’. Many of the children and young people supported through Resilient Schools also have special educational needs. </w:t>
      </w:r>
      <w:r w:rsidRPr="002F701D">
        <w:rPr>
          <w:rFonts w:ascii="Arial" w:hAnsi="Arial" w:cs="Arial"/>
        </w:rPr>
        <w:t>We will support schools and settings to deliver high quality provision at SEN Support and ensure greater consistency across the borough.</w:t>
      </w:r>
    </w:p>
    <w:p w14:paraId="6A768EBC" w14:textId="77777777" w:rsidR="00076F4C" w:rsidRPr="002F701D" w:rsidRDefault="00A92458" w:rsidP="00A51784">
      <w:pPr>
        <w:pStyle w:val="ListParagraph"/>
        <w:numPr>
          <w:ilvl w:val="0"/>
          <w:numId w:val="17"/>
        </w:numPr>
        <w:spacing w:after="120" w:line="240" w:lineRule="auto"/>
        <w:contextualSpacing w:val="0"/>
        <w:rPr>
          <w:rFonts w:ascii="Arial" w:hAnsi="Arial" w:cs="Arial"/>
        </w:rPr>
      </w:pPr>
      <w:r w:rsidRPr="002F701D">
        <w:rPr>
          <w:rFonts w:ascii="Arial" w:hAnsi="Arial" w:cs="Arial"/>
        </w:rPr>
        <w:t>Champion the educational progress and attainment of pupils with SEND</w:t>
      </w:r>
    </w:p>
    <w:p w14:paraId="614EB6BC" w14:textId="77777777" w:rsidR="002F701D" w:rsidRPr="002F701D" w:rsidRDefault="00076F4C" w:rsidP="002F701D">
      <w:pPr>
        <w:spacing w:after="120" w:line="240" w:lineRule="auto"/>
        <w:ind w:left="360"/>
        <w:rPr>
          <w:rFonts w:ascii="Arial" w:hAnsi="Arial" w:cs="Arial"/>
        </w:rPr>
      </w:pPr>
      <w:r w:rsidRPr="002F701D">
        <w:rPr>
          <w:rFonts w:ascii="Arial" w:hAnsi="Arial" w:cs="Arial"/>
        </w:rPr>
        <w:t>We collect information on outcomes against the objectives in an EHCP, but this needs to be further refined and embedded in practice in schools, settings and across SEN teams and services.</w:t>
      </w:r>
      <w:r w:rsidR="003329C5" w:rsidRPr="002F701D">
        <w:rPr>
          <w:rFonts w:ascii="Arial" w:hAnsi="Arial" w:cs="Arial"/>
        </w:rPr>
        <w:t xml:space="preserve"> </w:t>
      </w:r>
      <w:r w:rsidR="003329C5" w:rsidRPr="002F701D">
        <w:rPr>
          <w:rFonts w:ascii="Arial" w:eastAsia="Times New Roman" w:hAnsi="Arial" w:cs="Arial"/>
          <w:lang w:eastAsia="en-GB"/>
        </w:rPr>
        <w:t xml:space="preserve">It is important to ensure that there is regular monitoring and reviews of progress of pupils at SEN Support and for those with an EHC Plan, and processes are in place for this.  </w:t>
      </w:r>
    </w:p>
    <w:p w14:paraId="23C52E7A" w14:textId="77777777" w:rsidR="00A92458" w:rsidRPr="002F701D" w:rsidRDefault="00A92458" w:rsidP="00A51784">
      <w:pPr>
        <w:pStyle w:val="ListParagraph"/>
        <w:numPr>
          <w:ilvl w:val="0"/>
          <w:numId w:val="17"/>
        </w:numPr>
        <w:spacing w:after="120" w:line="240" w:lineRule="auto"/>
        <w:contextualSpacing w:val="0"/>
        <w:rPr>
          <w:rFonts w:ascii="Arial" w:hAnsi="Arial" w:cs="Arial"/>
        </w:rPr>
      </w:pPr>
      <w:r w:rsidRPr="002F701D">
        <w:rPr>
          <w:rFonts w:ascii="Arial" w:hAnsi="Arial" w:cs="Arial"/>
        </w:rPr>
        <w:t>Develop resilience in young people with SEND and promote independence.</w:t>
      </w:r>
    </w:p>
    <w:p w14:paraId="5E94D28A" w14:textId="77777777" w:rsidR="003329C5" w:rsidRPr="00733121" w:rsidRDefault="00733121" w:rsidP="00733121">
      <w:pPr>
        <w:spacing w:after="120" w:line="240" w:lineRule="auto"/>
        <w:ind w:left="360"/>
        <w:rPr>
          <w:rFonts w:ascii="Arial" w:hAnsi="Arial" w:cs="Arial"/>
        </w:rPr>
      </w:pPr>
      <w:r>
        <w:rPr>
          <w:rFonts w:ascii="Arial" w:hAnsi="Arial" w:cs="Arial"/>
        </w:rPr>
        <w:t xml:space="preserve">This is intended to </w:t>
      </w:r>
      <w:r w:rsidRPr="00733121">
        <w:rPr>
          <w:rFonts w:ascii="Arial" w:hAnsi="Arial" w:cs="Arial"/>
        </w:rPr>
        <w:t>build on the focus of preparing for adulthood, incorporating the work needed to further develop the CAMH Transformation Plan for children and young people with SEND.</w:t>
      </w:r>
    </w:p>
    <w:p w14:paraId="0E5DD845" w14:textId="77777777" w:rsidR="007854C0" w:rsidRPr="007854C0" w:rsidRDefault="00AA7FFC" w:rsidP="00733121">
      <w:pPr>
        <w:spacing w:before="240" w:after="120" w:line="240" w:lineRule="auto"/>
        <w:rPr>
          <w:rFonts w:ascii="Arial" w:hAnsi="Arial" w:cs="Arial"/>
          <w:b/>
        </w:rPr>
      </w:pPr>
      <w:r>
        <w:rPr>
          <w:rFonts w:ascii="Arial" w:hAnsi="Arial" w:cs="Arial"/>
          <w:b/>
        </w:rPr>
        <w:t>School improvement</w:t>
      </w:r>
      <w:r w:rsidR="00227372">
        <w:rPr>
          <w:rFonts w:ascii="Arial" w:hAnsi="Arial" w:cs="Arial"/>
          <w:b/>
        </w:rPr>
        <w:t xml:space="preserve"> </w:t>
      </w:r>
      <w:r w:rsidR="00227372" w:rsidRPr="00227372">
        <w:rPr>
          <w:rFonts w:ascii="Arial" w:hAnsi="Arial" w:cs="Arial"/>
          <w:b/>
        </w:rPr>
        <w:t>– strategic priorities</w:t>
      </w:r>
    </w:p>
    <w:p w14:paraId="413E8444" w14:textId="77777777" w:rsidR="00CB1E92" w:rsidRDefault="0037531D" w:rsidP="0037531D">
      <w:pPr>
        <w:spacing w:after="120" w:line="240" w:lineRule="auto"/>
        <w:jc w:val="both"/>
        <w:outlineLvl w:val="0"/>
        <w:rPr>
          <w:rFonts w:ascii="Arial" w:hAnsi="Arial" w:cs="Arial"/>
        </w:rPr>
      </w:pPr>
      <w:r>
        <w:rPr>
          <w:rFonts w:ascii="Arial" w:hAnsi="Arial" w:cs="Arial"/>
        </w:rPr>
        <w:t>The following p</w:t>
      </w:r>
      <w:r w:rsidR="00227372" w:rsidRPr="00227372">
        <w:rPr>
          <w:rFonts w:ascii="Arial" w:hAnsi="Arial" w:cs="Arial"/>
        </w:rPr>
        <w:t xml:space="preserve">riorities </w:t>
      </w:r>
      <w:r>
        <w:rPr>
          <w:rFonts w:ascii="Arial" w:hAnsi="Arial" w:cs="Arial"/>
        </w:rPr>
        <w:t xml:space="preserve">have been </w:t>
      </w:r>
      <w:r w:rsidR="00CB1E92">
        <w:rPr>
          <w:rFonts w:ascii="Arial" w:hAnsi="Arial" w:cs="Arial"/>
        </w:rPr>
        <w:t xml:space="preserve">agreed by </w:t>
      </w:r>
      <w:r>
        <w:rPr>
          <w:rFonts w:ascii="Arial" w:hAnsi="Arial" w:cs="Arial"/>
        </w:rPr>
        <w:t>the School Standards Partnership Board f</w:t>
      </w:r>
      <w:r w:rsidR="00CB1E92">
        <w:rPr>
          <w:rFonts w:ascii="Arial" w:hAnsi="Arial" w:cs="Arial"/>
        </w:rPr>
        <w:t>or 201</w:t>
      </w:r>
      <w:r w:rsidR="003645E5">
        <w:rPr>
          <w:rFonts w:ascii="Arial" w:hAnsi="Arial" w:cs="Arial"/>
        </w:rPr>
        <w:t>8</w:t>
      </w:r>
      <w:r w:rsidR="00CB1E92">
        <w:rPr>
          <w:rFonts w:ascii="Arial" w:hAnsi="Arial" w:cs="Arial"/>
        </w:rPr>
        <w:t>/1</w:t>
      </w:r>
      <w:r w:rsidR="003645E5">
        <w:rPr>
          <w:rFonts w:ascii="Arial" w:hAnsi="Arial" w:cs="Arial"/>
        </w:rPr>
        <w:t>9</w:t>
      </w:r>
      <w:r w:rsidR="00CB1E92">
        <w:rPr>
          <w:rFonts w:ascii="Arial" w:hAnsi="Arial" w:cs="Arial"/>
        </w:rPr>
        <w:t>:</w:t>
      </w:r>
    </w:p>
    <w:p w14:paraId="1664FD32" w14:textId="77777777" w:rsidR="0037531D" w:rsidRDefault="0037531D" w:rsidP="00A51784">
      <w:pPr>
        <w:pStyle w:val="ListParagraph"/>
        <w:numPr>
          <w:ilvl w:val="0"/>
          <w:numId w:val="15"/>
        </w:numPr>
        <w:spacing w:after="120" w:line="240" w:lineRule="auto"/>
        <w:ind w:left="357" w:hanging="357"/>
        <w:contextualSpacing w:val="0"/>
        <w:jc w:val="both"/>
        <w:outlineLvl w:val="0"/>
        <w:rPr>
          <w:rFonts w:ascii="Arial" w:hAnsi="Arial" w:cs="Arial"/>
        </w:rPr>
      </w:pPr>
      <w:r w:rsidRPr="0037531D">
        <w:rPr>
          <w:rFonts w:ascii="Arial" w:hAnsi="Arial" w:cs="Arial"/>
        </w:rPr>
        <w:t xml:space="preserve">Primary Attendance - </w:t>
      </w:r>
      <w:r>
        <w:rPr>
          <w:rFonts w:ascii="Arial" w:hAnsi="Arial" w:cs="Arial"/>
        </w:rPr>
        <w:t>H</w:t>
      </w:r>
      <w:r w:rsidRPr="0037531D">
        <w:rPr>
          <w:rFonts w:ascii="Arial" w:hAnsi="Arial" w:cs="Arial"/>
        </w:rPr>
        <w:t>aving now improved to a national ranking of 15th, from 98th two years previously, a key priority is to consolidate this improved performance.  In particular, there is still a need to reduce levels of authorised absence in Primary schools, which remains at the national average and h</w:t>
      </w:r>
      <w:r>
        <w:rPr>
          <w:rFonts w:ascii="Arial" w:hAnsi="Arial" w:cs="Arial"/>
        </w:rPr>
        <w:t xml:space="preserve">igher than the London average. </w:t>
      </w:r>
    </w:p>
    <w:p w14:paraId="3B522E7F"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Early Years</w:t>
      </w:r>
      <w:r>
        <w:rPr>
          <w:rFonts w:ascii="Arial" w:hAnsi="Arial" w:cs="Arial"/>
        </w:rPr>
        <w:t xml:space="preserve"> - </w:t>
      </w:r>
      <w:r w:rsidRPr="0037531D">
        <w:rPr>
          <w:rFonts w:ascii="Arial" w:hAnsi="Arial" w:cs="Arial"/>
        </w:rPr>
        <w:t>Barnet’s national ranking for the percentage of pupils achieving a Good Level of Development (GLD) in the Early Years Foundation Stage (EYFS) was 35th in 2018, which is below the top 10% of LAs and thus remains a priority. The percentage of girls achieving a GLD was above national, London and Statistical Neighbours and was ranked 26th. However, the percentage of boys achieving a GLD, although above national, was below London and Statistical Neighbours and was ranked 72nd. Therefore, raising attainment of boys at EYFS is a priority.</w:t>
      </w:r>
    </w:p>
    <w:p w14:paraId="5ACE94FA"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 xml:space="preserve">Key Stage 1 Achievement - KS1 relative attainment (ranking), although significantly improved in 2018, remains below the top 10% of LAs for all KS1 subjects. Science is ranked the lowest (51st) for the proportion of pupils achieving at least the expected standard, then Writing (25th), then Maths (23rd) with the best relative attainment being in Reading (17th). </w:t>
      </w:r>
    </w:p>
    <w:p w14:paraId="423628AA"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 xml:space="preserve">KS2 Writing </w:t>
      </w:r>
      <w:r>
        <w:rPr>
          <w:rFonts w:ascii="Arial" w:hAnsi="Arial" w:cs="Arial"/>
        </w:rPr>
        <w:t xml:space="preserve">- </w:t>
      </w:r>
      <w:r w:rsidRPr="0037531D">
        <w:rPr>
          <w:rFonts w:ascii="Arial" w:hAnsi="Arial" w:cs="Arial"/>
        </w:rPr>
        <w:t>Despite attainment in 2018 being above the national and statistical neighbour averages, our ranking, although improved from 2017 is still 25th. Although it is clear that there are inconsistencies nationally with teacher assessment of writing, we still need to maintain a focus on this subject in order to continue to improve Barnet’s ranking.</w:t>
      </w:r>
    </w:p>
    <w:p w14:paraId="32C2E68A"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Disadvantaged and vulnerable pupils - Achievement of Disadvantaged Pupils and other Vulnerable Groups (including pupils with SEND, Children in Need, and Black pupils) remains a priority for improvement to eliminate differences in the performance of particular groups of pupils. The aim is to maintain or improve on the current high levels of performance of SEND pupils relative to other LAs.  Work is taking place to match datasets across education and social care for ‘children in need’ in order to facilitate tracking of this group of children and to plan improved interventions, where necessary.  The ‘All Black’ category of pupils achieves above the national average in both primary and secondary schools but is still outside the top 20% and so remains a priority.</w:t>
      </w:r>
    </w:p>
    <w:p w14:paraId="7A12FB5E"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Looked After Children</w:t>
      </w:r>
      <w:r>
        <w:rPr>
          <w:rFonts w:ascii="Arial" w:hAnsi="Arial" w:cs="Arial"/>
        </w:rPr>
        <w:t xml:space="preserve"> - </w:t>
      </w:r>
      <w:r w:rsidRPr="0037531D">
        <w:rPr>
          <w:rFonts w:ascii="Arial" w:hAnsi="Arial" w:cs="Arial"/>
        </w:rPr>
        <w:t>Comparative data from 2018 is not published until May.  The 2017 data showed an improvement on recent years.  At KS2 attainment is above the national figures for Looked After Children in all subjects. Progress between KS1 and KS2 was strong in Maths (ranked 10th) but lower in Reading (ranked 81st) and Writing (ranked 94th).  At secondary level (KS4) Progress 8 was ranked 42nd and Attainment 8 was 83rd. Attendance of Looked After Children is also a key priority. It needs to be recognised that, due to the small number of LAC in each year group, results fluctuate year on year.</w:t>
      </w:r>
    </w:p>
    <w:p w14:paraId="4542510A"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Transition</w:t>
      </w:r>
      <w:r>
        <w:rPr>
          <w:rFonts w:ascii="Arial" w:hAnsi="Arial" w:cs="Arial"/>
        </w:rPr>
        <w:t xml:space="preserve"> - </w:t>
      </w:r>
      <w:r w:rsidRPr="0037531D">
        <w:rPr>
          <w:rFonts w:ascii="Arial" w:hAnsi="Arial" w:cs="Arial"/>
        </w:rPr>
        <w:t xml:space="preserve">Transition between all Key Stages remains a priority with a working group of officers and headteachers focussing on transition between key stages.  </w:t>
      </w:r>
    </w:p>
    <w:p w14:paraId="1C2BCB45"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Recruitment</w:t>
      </w:r>
      <w:r>
        <w:rPr>
          <w:rFonts w:ascii="Arial" w:hAnsi="Arial" w:cs="Arial"/>
        </w:rPr>
        <w:t xml:space="preserve"> - </w:t>
      </w:r>
      <w:r w:rsidRPr="0037531D">
        <w:rPr>
          <w:rFonts w:ascii="Arial" w:hAnsi="Arial" w:cs="Arial"/>
        </w:rPr>
        <w:t>Recruiting and retaining good quality teachers and school leaders is a challenge for schools across Barnet. The Recruitment and Retention Working party is work</w:t>
      </w:r>
      <w:r>
        <w:rPr>
          <w:rFonts w:ascii="Arial" w:hAnsi="Arial" w:cs="Arial"/>
        </w:rPr>
        <w:t>ing to address these challenges.</w:t>
      </w:r>
    </w:p>
    <w:p w14:paraId="5721D95A"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Progress and Progression Pathways of low attaining pupils across all key stage</w:t>
      </w:r>
      <w:r>
        <w:rPr>
          <w:rFonts w:ascii="Arial" w:hAnsi="Arial" w:cs="Arial"/>
        </w:rPr>
        <w:t xml:space="preserve">s - </w:t>
      </w:r>
      <w:r w:rsidRPr="0037531D">
        <w:rPr>
          <w:rFonts w:ascii="Arial" w:hAnsi="Arial" w:cs="Arial"/>
        </w:rPr>
        <w:t xml:space="preserve">The priority is to ensure that sufficient </w:t>
      </w:r>
      <w:proofErr w:type="gramStart"/>
      <w:r w:rsidRPr="0037531D">
        <w:rPr>
          <w:rFonts w:ascii="Arial" w:hAnsi="Arial" w:cs="Arial"/>
        </w:rPr>
        <w:t>high quality</w:t>
      </w:r>
      <w:proofErr w:type="gramEnd"/>
      <w:r w:rsidRPr="0037531D">
        <w:rPr>
          <w:rFonts w:ascii="Arial" w:hAnsi="Arial" w:cs="Arial"/>
        </w:rPr>
        <w:t xml:space="preserve"> learning opportunities exist for children and young people to succeed across a range of skills and abilities.  A particular area of concern are the choices for young people moving from Key Stage 4 (GCSEs) to Key Stage 5 (sixth-form or college) who would benefit from vocational or technical courses of study and young people with special educational needs and disabilities.</w:t>
      </w:r>
    </w:p>
    <w:p w14:paraId="489C2FE1"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Safeguarding</w:t>
      </w:r>
      <w:r>
        <w:rPr>
          <w:rFonts w:ascii="Arial" w:hAnsi="Arial" w:cs="Arial"/>
        </w:rPr>
        <w:t xml:space="preserve"> - </w:t>
      </w:r>
      <w:r w:rsidRPr="0037531D">
        <w:rPr>
          <w:rFonts w:ascii="Arial" w:hAnsi="Arial" w:cs="Arial"/>
        </w:rPr>
        <w:t>Schools and the Education and Skills service continue to support the implementation of Barnet Children’s Services Improvement Plan following the Inadequate judgement by Ofsted in July 2017. All schools inspected by Ofsted during in the last two school years and this year to date have been judged to have effective arrangements in place for safeguarding.</w:t>
      </w:r>
    </w:p>
    <w:p w14:paraId="2AE5B0F1"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Wider Curriculum</w:t>
      </w:r>
      <w:r>
        <w:rPr>
          <w:rFonts w:ascii="Arial" w:hAnsi="Arial" w:cs="Arial"/>
        </w:rPr>
        <w:t xml:space="preserve"> - </w:t>
      </w:r>
      <w:r w:rsidRPr="0037531D">
        <w:rPr>
          <w:rFonts w:ascii="Arial" w:hAnsi="Arial" w:cs="Arial"/>
        </w:rPr>
        <w:t>A key priority this year to support the delivery of a broad and balanced curriculum which provides a wide range of opportunities for pupils to learn and helps pupils acquire knowledge, understanding and skills in all aspects of their education, including the humanities and linguistic, mathematical, scientific, technical, social, physical and artistic learning.  This approach is recognised as important in ensuring all pupils make good progress through their school life.</w:t>
      </w:r>
    </w:p>
    <w:p w14:paraId="48C1DE19" w14:textId="77777777" w:rsidR="0037531D" w:rsidRDefault="0037531D" w:rsidP="00A51784">
      <w:pPr>
        <w:pStyle w:val="ListParagraph"/>
        <w:numPr>
          <w:ilvl w:val="0"/>
          <w:numId w:val="15"/>
        </w:numPr>
        <w:spacing w:after="120" w:line="240" w:lineRule="auto"/>
        <w:contextualSpacing w:val="0"/>
        <w:jc w:val="both"/>
        <w:outlineLvl w:val="0"/>
        <w:rPr>
          <w:rFonts w:ascii="Arial" w:hAnsi="Arial" w:cs="Arial"/>
        </w:rPr>
      </w:pPr>
      <w:r w:rsidRPr="0037531D">
        <w:rPr>
          <w:rFonts w:ascii="Arial" w:hAnsi="Arial" w:cs="Arial"/>
        </w:rPr>
        <w:t>Positive behaviour for learning</w:t>
      </w:r>
      <w:r>
        <w:rPr>
          <w:rFonts w:ascii="Arial" w:hAnsi="Arial" w:cs="Arial"/>
        </w:rPr>
        <w:t xml:space="preserve"> - </w:t>
      </w:r>
      <w:r w:rsidRPr="0037531D">
        <w:rPr>
          <w:rFonts w:ascii="Arial" w:hAnsi="Arial" w:cs="Arial"/>
        </w:rPr>
        <w:t>The above priorities are underpinned by:</w:t>
      </w:r>
    </w:p>
    <w:p w14:paraId="50724909" w14:textId="77777777" w:rsidR="0037531D" w:rsidRDefault="0037531D" w:rsidP="00A51784">
      <w:pPr>
        <w:pStyle w:val="ListParagraph"/>
        <w:numPr>
          <w:ilvl w:val="0"/>
          <w:numId w:val="16"/>
        </w:numPr>
        <w:spacing w:after="120" w:line="240" w:lineRule="auto"/>
        <w:contextualSpacing w:val="0"/>
        <w:jc w:val="both"/>
        <w:outlineLvl w:val="0"/>
        <w:rPr>
          <w:rFonts w:ascii="Arial" w:hAnsi="Arial" w:cs="Arial"/>
        </w:rPr>
      </w:pPr>
      <w:r w:rsidRPr="0037531D">
        <w:rPr>
          <w:rFonts w:ascii="Arial" w:hAnsi="Arial" w:cs="Arial"/>
        </w:rPr>
        <w:t xml:space="preserve">A curriculum that contributes well to pupils’ behaviour and welfare, including their physical, mental and personal well-being, safety and spiritual, moral, social and cultural development. </w:t>
      </w:r>
    </w:p>
    <w:p w14:paraId="4B68C3F2" w14:textId="77777777" w:rsidR="0037531D" w:rsidRPr="0037531D" w:rsidRDefault="0037531D" w:rsidP="00A51784">
      <w:pPr>
        <w:pStyle w:val="ListParagraph"/>
        <w:numPr>
          <w:ilvl w:val="0"/>
          <w:numId w:val="16"/>
        </w:numPr>
        <w:spacing w:after="120" w:line="240" w:lineRule="auto"/>
        <w:contextualSpacing w:val="0"/>
        <w:jc w:val="both"/>
        <w:outlineLvl w:val="0"/>
        <w:rPr>
          <w:rFonts w:ascii="Arial" w:hAnsi="Arial" w:cs="Arial"/>
        </w:rPr>
      </w:pPr>
      <w:r w:rsidRPr="0037531D">
        <w:rPr>
          <w:rFonts w:ascii="Arial" w:hAnsi="Arial" w:cs="Arial"/>
        </w:rPr>
        <w:t>School leaders who take effective steps to secure good behaviour from pupils and a consistent approach to discipline.  This in turn helps to minimise the need for exclusions.</w:t>
      </w:r>
    </w:p>
    <w:p w14:paraId="0D32076A" w14:textId="77777777" w:rsidR="0015172A" w:rsidRPr="006017FB" w:rsidRDefault="0037531D" w:rsidP="00733121">
      <w:pPr>
        <w:spacing w:after="120" w:line="240" w:lineRule="auto"/>
        <w:ind w:left="360"/>
        <w:jc w:val="both"/>
        <w:outlineLvl w:val="0"/>
        <w:rPr>
          <w:rFonts w:ascii="Arial" w:hAnsi="Arial" w:cs="Arial"/>
        </w:rPr>
      </w:pPr>
      <w:r w:rsidRPr="0037531D">
        <w:rPr>
          <w:rFonts w:ascii="Arial" w:hAnsi="Arial" w:cs="Arial"/>
        </w:rPr>
        <w:t>It is recognised that schools are having to manage pupils with more complex behaviour challenges.  School Improvement staff work closely with colleagues from the SEND and Inclusion Teams to offer support to schools in managing more complex behaviour.</w:t>
      </w:r>
    </w:p>
    <w:sectPr w:rsidR="0015172A" w:rsidRPr="006017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5A60" w14:textId="77777777" w:rsidR="00AD1FF3" w:rsidRDefault="00AD1FF3" w:rsidP="0015172A">
      <w:pPr>
        <w:spacing w:after="0" w:line="240" w:lineRule="auto"/>
      </w:pPr>
      <w:r>
        <w:separator/>
      </w:r>
    </w:p>
  </w:endnote>
  <w:endnote w:type="continuationSeparator" w:id="0">
    <w:p w14:paraId="7F251DBD" w14:textId="77777777" w:rsidR="00AD1FF3" w:rsidRDefault="00AD1FF3" w:rsidP="0015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480988"/>
      <w:docPartObj>
        <w:docPartGallery w:val="Page Numbers (Bottom of Page)"/>
        <w:docPartUnique/>
      </w:docPartObj>
    </w:sdtPr>
    <w:sdtEndPr>
      <w:rPr>
        <w:noProof/>
      </w:rPr>
    </w:sdtEndPr>
    <w:sdtContent>
      <w:p w14:paraId="491F3976" w14:textId="48DB4984" w:rsidR="00B710A2" w:rsidRDefault="00B710A2">
        <w:pPr>
          <w:pStyle w:val="Footer"/>
          <w:jc w:val="center"/>
        </w:pPr>
        <w:r>
          <w:fldChar w:fldCharType="begin"/>
        </w:r>
        <w:r>
          <w:instrText xml:space="preserve"> PAGE   \* MERGEFORMAT </w:instrText>
        </w:r>
        <w:r>
          <w:fldChar w:fldCharType="separate"/>
        </w:r>
        <w:r w:rsidR="00FA49D4">
          <w:rPr>
            <w:noProof/>
          </w:rPr>
          <w:t>1</w:t>
        </w:r>
        <w:r>
          <w:rPr>
            <w:noProof/>
          </w:rPr>
          <w:fldChar w:fldCharType="end"/>
        </w:r>
      </w:p>
    </w:sdtContent>
  </w:sdt>
  <w:p w14:paraId="4DEC4187" w14:textId="77777777" w:rsidR="00B710A2" w:rsidRDefault="00B71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3A73" w14:textId="77777777" w:rsidR="00AD1FF3" w:rsidRDefault="00AD1FF3" w:rsidP="0015172A">
      <w:pPr>
        <w:spacing w:after="0" w:line="240" w:lineRule="auto"/>
      </w:pPr>
      <w:r>
        <w:separator/>
      </w:r>
    </w:p>
  </w:footnote>
  <w:footnote w:type="continuationSeparator" w:id="0">
    <w:p w14:paraId="79BE7A6B" w14:textId="77777777" w:rsidR="00AD1FF3" w:rsidRDefault="00AD1FF3" w:rsidP="00151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160"/>
    <w:multiLevelType w:val="hybridMultilevel"/>
    <w:tmpl w:val="EF88EEC6"/>
    <w:lvl w:ilvl="0" w:tplc="4F54AF0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3B30"/>
    <w:multiLevelType w:val="hybridMultilevel"/>
    <w:tmpl w:val="E7F41A66"/>
    <w:lvl w:ilvl="0" w:tplc="2E500A1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16D59"/>
    <w:multiLevelType w:val="hybridMultilevel"/>
    <w:tmpl w:val="F25A1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89D63B52">
      <w:numFmt w:val="bullet"/>
      <w:lvlText w:val="•"/>
      <w:lvlJc w:val="left"/>
      <w:pPr>
        <w:ind w:left="2160" w:hanging="72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22E7C"/>
    <w:multiLevelType w:val="hybridMultilevel"/>
    <w:tmpl w:val="02C6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4803"/>
    <w:multiLevelType w:val="hybridMultilevel"/>
    <w:tmpl w:val="D1A0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42F96"/>
    <w:multiLevelType w:val="hybridMultilevel"/>
    <w:tmpl w:val="853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2CDE"/>
    <w:multiLevelType w:val="hybridMultilevel"/>
    <w:tmpl w:val="E5768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C6525"/>
    <w:multiLevelType w:val="hybridMultilevel"/>
    <w:tmpl w:val="12162448"/>
    <w:lvl w:ilvl="0" w:tplc="3FD89090">
      <w:start w:val="1"/>
      <w:numFmt w:val="bullet"/>
      <w:lvlText w:val="●"/>
      <w:lvlJc w:val="left"/>
      <w:pPr>
        <w:tabs>
          <w:tab w:val="num" w:pos="720"/>
        </w:tabs>
        <w:ind w:left="720" w:hanging="360"/>
      </w:pPr>
      <w:rPr>
        <w:rFonts w:ascii="Arial" w:hAnsi="Arial" w:hint="default"/>
      </w:rPr>
    </w:lvl>
    <w:lvl w:ilvl="1" w:tplc="78363F62" w:tentative="1">
      <w:start w:val="1"/>
      <w:numFmt w:val="bullet"/>
      <w:lvlText w:val="●"/>
      <w:lvlJc w:val="left"/>
      <w:pPr>
        <w:tabs>
          <w:tab w:val="num" w:pos="1440"/>
        </w:tabs>
        <w:ind w:left="1440" w:hanging="360"/>
      </w:pPr>
      <w:rPr>
        <w:rFonts w:ascii="Arial" w:hAnsi="Arial" w:hint="default"/>
      </w:rPr>
    </w:lvl>
    <w:lvl w:ilvl="2" w:tplc="F296FE1E" w:tentative="1">
      <w:start w:val="1"/>
      <w:numFmt w:val="bullet"/>
      <w:lvlText w:val="●"/>
      <w:lvlJc w:val="left"/>
      <w:pPr>
        <w:tabs>
          <w:tab w:val="num" w:pos="2160"/>
        </w:tabs>
        <w:ind w:left="2160" w:hanging="360"/>
      </w:pPr>
      <w:rPr>
        <w:rFonts w:ascii="Arial" w:hAnsi="Arial" w:hint="default"/>
      </w:rPr>
    </w:lvl>
    <w:lvl w:ilvl="3" w:tplc="5FBC0D24" w:tentative="1">
      <w:start w:val="1"/>
      <w:numFmt w:val="bullet"/>
      <w:lvlText w:val="●"/>
      <w:lvlJc w:val="left"/>
      <w:pPr>
        <w:tabs>
          <w:tab w:val="num" w:pos="2880"/>
        </w:tabs>
        <w:ind w:left="2880" w:hanging="360"/>
      </w:pPr>
      <w:rPr>
        <w:rFonts w:ascii="Arial" w:hAnsi="Arial" w:hint="default"/>
      </w:rPr>
    </w:lvl>
    <w:lvl w:ilvl="4" w:tplc="663EE094" w:tentative="1">
      <w:start w:val="1"/>
      <w:numFmt w:val="bullet"/>
      <w:lvlText w:val="●"/>
      <w:lvlJc w:val="left"/>
      <w:pPr>
        <w:tabs>
          <w:tab w:val="num" w:pos="3600"/>
        </w:tabs>
        <w:ind w:left="3600" w:hanging="360"/>
      </w:pPr>
      <w:rPr>
        <w:rFonts w:ascii="Arial" w:hAnsi="Arial" w:hint="default"/>
      </w:rPr>
    </w:lvl>
    <w:lvl w:ilvl="5" w:tplc="0862D7B8" w:tentative="1">
      <w:start w:val="1"/>
      <w:numFmt w:val="bullet"/>
      <w:lvlText w:val="●"/>
      <w:lvlJc w:val="left"/>
      <w:pPr>
        <w:tabs>
          <w:tab w:val="num" w:pos="4320"/>
        </w:tabs>
        <w:ind w:left="4320" w:hanging="360"/>
      </w:pPr>
      <w:rPr>
        <w:rFonts w:ascii="Arial" w:hAnsi="Arial" w:hint="default"/>
      </w:rPr>
    </w:lvl>
    <w:lvl w:ilvl="6" w:tplc="6CC435B8" w:tentative="1">
      <w:start w:val="1"/>
      <w:numFmt w:val="bullet"/>
      <w:lvlText w:val="●"/>
      <w:lvlJc w:val="left"/>
      <w:pPr>
        <w:tabs>
          <w:tab w:val="num" w:pos="5040"/>
        </w:tabs>
        <w:ind w:left="5040" w:hanging="360"/>
      </w:pPr>
      <w:rPr>
        <w:rFonts w:ascii="Arial" w:hAnsi="Arial" w:hint="default"/>
      </w:rPr>
    </w:lvl>
    <w:lvl w:ilvl="7" w:tplc="60249E28" w:tentative="1">
      <w:start w:val="1"/>
      <w:numFmt w:val="bullet"/>
      <w:lvlText w:val="●"/>
      <w:lvlJc w:val="left"/>
      <w:pPr>
        <w:tabs>
          <w:tab w:val="num" w:pos="5760"/>
        </w:tabs>
        <w:ind w:left="5760" w:hanging="360"/>
      </w:pPr>
      <w:rPr>
        <w:rFonts w:ascii="Arial" w:hAnsi="Arial" w:hint="default"/>
      </w:rPr>
    </w:lvl>
    <w:lvl w:ilvl="8" w:tplc="11229B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806FF"/>
    <w:multiLevelType w:val="hybridMultilevel"/>
    <w:tmpl w:val="4C166E18"/>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FB07C0"/>
    <w:multiLevelType w:val="hybridMultilevel"/>
    <w:tmpl w:val="422270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8453B6"/>
    <w:multiLevelType w:val="hybridMultilevel"/>
    <w:tmpl w:val="71F09B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BB5143"/>
    <w:multiLevelType w:val="hybridMultilevel"/>
    <w:tmpl w:val="FA4C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5317F"/>
    <w:multiLevelType w:val="hybridMultilevel"/>
    <w:tmpl w:val="0E82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815890"/>
    <w:multiLevelType w:val="hybridMultilevel"/>
    <w:tmpl w:val="C7DE2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DF695C"/>
    <w:multiLevelType w:val="hybridMultilevel"/>
    <w:tmpl w:val="97CC1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4733C"/>
    <w:multiLevelType w:val="hybridMultilevel"/>
    <w:tmpl w:val="088086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570B68"/>
    <w:multiLevelType w:val="hybridMultilevel"/>
    <w:tmpl w:val="3EF80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0822B7"/>
    <w:multiLevelType w:val="hybridMultilevel"/>
    <w:tmpl w:val="05B40C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14"/>
  </w:num>
  <w:num w:numId="4">
    <w:abstractNumId w:val="2"/>
  </w:num>
  <w:num w:numId="5">
    <w:abstractNumId w:val="11"/>
  </w:num>
  <w:num w:numId="6">
    <w:abstractNumId w:val="1"/>
  </w:num>
  <w:num w:numId="7">
    <w:abstractNumId w:val="13"/>
  </w:num>
  <w:num w:numId="8">
    <w:abstractNumId w:val="6"/>
  </w:num>
  <w:num w:numId="9">
    <w:abstractNumId w:val="3"/>
  </w:num>
  <w:num w:numId="10">
    <w:abstractNumId w:val="15"/>
  </w:num>
  <w:num w:numId="11">
    <w:abstractNumId w:val="9"/>
  </w:num>
  <w:num w:numId="12">
    <w:abstractNumId w:val="8"/>
  </w:num>
  <w:num w:numId="13">
    <w:abstractNumId w:val="10"/>
  </w:num>
  <w:num w:numId="14">
    <w:abstractNumId w:val="5"/>
  </w:num>
  <w:num w:numId="15">
    <w:abstractNumId w:val="17"/>
  </w:num>
  <w:num w:numId="16">
    <w:abstractNumId w:val="4"/>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FB"/>
    <w:rsid w:val="00010DED"/>
    <w:rsid w:val="00021C9B"/>
    <w:rsid w:val="00022DFB"/>
    <w:rsid w:val="00030C4B"/>
    <w:rsid w:val="00043EDD"/>
    <w:rsid w:val="00053952"/>
    <w:rsid w:val="00070EF2"/>
    <w:rsid w:val="00076F4C"/>
    <w:rsid w:val="00082A9B"/>
    <w:rsid w:val="000920ED"/>
    <w:rsid w:val="0009689F"/>
    <w:rsid w:val="000B09B0"/>
    <w:rsid w:val="000B49A1"/>
    <w:rsid w:val="000D251A"/>
    <w:rsid w:val="000D791D"/>
    <w:rsid w:val="001041B5"/>
    <w:rsid w:val="001045DD"/>
    <w:rsid w:val="00104C35"/>
    <w:rsid w:val="00133985"/>
    <w:rsid w:val="00142221"/>
    <w:rsid w:val="00142249"/>
    <w:rsid w:val="001470E1"/>
    <w:rsid w:val="0015172A"/>
    <w:rsid w:val="001910E3"/>
    <w:rsid w:val="001B507E"/>
    <w:rsid w:val="001C13FB"/>
    <w:rsid w:val="001C3F2E"/>
    <w:rsid w:val="001C442D"/>
    <w:rsid w:val="001D0DD2"/>
    <w:rsid w:val="001D62E3"/>
    <w:rsid w:val="001E3A9E"/>
    <w:rsid w:val="001F6C30"/>
    <w:rsid w:val="00202E3D"/>
    <w:rsid w:val="00227372"/>
    <w:rsid w:val="00230A29"/>
    <w:rsid w:val="00256543"/>
    <w:rsid w:val="00261CF7"/>
    <w:rsid w:val="00291D7E"/>
    <w:rsid w:val="0029495B"/>
    <w:rsid w:val="002C0D76"/>
    <w:rsid w:val="002E2AE4"/>
    <w:rsid w:val="002F5D96"/>
    <w:rsid w:val="002F701D"/>
    <w:rsid w:val="00306FB1"/>
    <w:rsid w:val="0031393D"/>
    <w:rsid w:val="00316503"/>
    <w:rsid w:val="0031769B"/>
    <w:rsid w:val="00325EC3"/>
    <w:rsid w:val="003329C5"/>
    <w:rsid w:val="00360F4F"/>
    <w:rsid w:val="0036363E"/>
    <w:rsid w:val="003645E5"/>
    <w:rsid w:val="00370713"/>
    <w:rsid w:val="0037531D"/>
    <w:rsid w:val="003860AB"/>
    <w:rsid w:val="00395B93"/>
    <w:rsid w:val="003A0DFD"/>
    <w:rsid w:val="003A4C90"/>
    <w:rsid w:val="003B1C78"/>
    <w:rsid w:val="003B1D70"/>
    <w:rsid w:val="003C4A2E"/>
    <w:rsid w:val="003C6061"/>
    <w:rsid w:val="0040028B"/>
    <w:rsid w:val="004029C0"/>
    <w:rsid w:val="00413858"/>
    <w:rsid w:val="0043532B"/>
    <w:rsid w:val="00440657"/>
    <w:rsid w:val="0044076E"/>
    <w:rsid w:val="004438AB"/>
    <w:rsid w:val="00444713"/>
    <w:rsid w:val="0044479A"/>
    <w:rsid w:val="00444C85"/>
    <w:rsid w:val="0044617F"/>
    <w:rsid w:val="004609C4"/>
    <w:rsid w:val="00481AA2"/>
    <w:rsid w:val="004935DA"/>
    <w:rsid w:val="004976CC"/>
    <w:rsid w:val="004A18C0"/>
    <w:rsid w:val="004C1ED0"/>
    <w:rsid w:val="004D46C1"/>
    <w:rsid w:val="00526008"/>
    <w:rsid w:val="005558EC"/>
    <w:rsid w:val="005650C8"/>
    <w:rsid w:val="00565ED5"/>
    <w:rsid w:val="00567328"/>
    <w:rsid w:val="0057385F"/>
    <w:rsid w:val="005D0AC7"/>
    <w:rsid w:val="005F71C5"/>
    <w:rsid w:val="006017FB"/>
    <w:rsid w:val="006036A4"/>
    <w:rsid w:val="006160A7"/>
    <w:rsid w:val="00626847"/>
    <w:rsid w:val="006329F3"/>
    <w:rsid w:val="00632C6F"/>
    <w:rsid w:val="0064394C"/>
    <w:rsid w:val="00655155"/>
    <w:rsid w:val="00667B99"/>
    <w:rsid w:val="006B46BF"/>
    <w:rsid w:val="006D15F9"/>
    <w:rsid w:val="006D3285"/>
    <w:rsid w:val="00702EB6"/>
    <w:rsid w:val="0070476C"/>
    <w:rsid w:val="007127A6"/>
    <w:rsid w:val="00723382"/>
    <w:rsid w:val="007246C4"/>
    <w:rsid w:val="00732733"/>
    <w:rsid w:val="00733121"/>
    <w:rsid w:val="0073392A"/>
    <w:rsid w:val="0073768B"/>
    <w:rsid w:val="007531C1"/>
    <w:rsid w:val="007551A3"/>
    <w:rsid w:val="007604AD"/>
    <w:rsid w:val="007716D5"/>
    <w:rsid w:val="007749EC"/>
    <w:rsid w:val="00775570"/>
    <w:rsid w:val="007854C0"/>
    <w:rsid w:val="0079406A"/>
    <w:rsid w:val="007D5A41"/>
    <w:rsid w:val="007D6B6D"/>
    <w:rsid w:val="008205B3"/>
    <w:rsid w:val="0087260D"/>
    <w:rsid w:val="00875AE2"/>
    <w:rsid w:val="0087764C"/>
    <w:rsid w:val="00882E3C"/>
    <w:rsid w:val="00886C42"/>
    <w:rsid w:val="0088724B"/>
    <w:rsid w:val="008921CE"/>
    <w:rsid w:val="008A2CA2"/>
    <w:rsid w:val="008A2D3D"/>
    <w:rsid w:val="008B0AB3"/>
    <w:rsid w:val="008B38FE"/>
    <w:rsid w:val="008C7FD8"/>
    <w:rsid w:val="008F2449"/>
    <w:rsid w:val="008F52CA"/>
    <w:rsid w:val="00901D0A"/>
    <w:rsid w:val="00910B4A"/>
    <w:rsid w:val="00912078"/>
    <w:rsid w:val="00916C34"/>
    <w:rsid w:val="0092655F"/>
    <w:rsid w:val="00941894"/>
    <w:rsid w:val="009458D6"/>
    <w:rsid w:val="009462AA"/>
    <w:rsid w:val="00977FEE"/>
    <w:rsid w:val="00981EC5"/>
    <w:rsid w:val="009B0A9B"/>
    <w:rsid w:val="009B257B"/>
    <w:rsid w:val="009B4213"/>
    <w:rsid w:val="009C1EE2"/>
    <w:rsid w:val="009D02FF"/>
    <w:rsid w:val="009D05E2"/>
    <w:rsid w:val="009D40EA"/>
    <w:rsid w:val="009E260C"/>
    <w:rsid w:val="009F7462"/>
    <w:rsid w:val="00A03DB6"/>
    <w:rsid w:val="00A14996"/>
    <w:rsid w:val="00A262C0"/>
    <w:rsid w:val="00A51784"/>
    <w:rsid w:val="00A638E2"/>
    <w:rsid w:val="00A67B4C"/>
    <w:rsid w:val="00A738A8"/>
    <w:rsid w:val="00A81C5E"/>
    <w:rsid w:val="00A92458"/>
    <w:rsid w:val="00AA7FFC"/>
    <w:rsid w:val="00AD0FA9"/>
    <w:rsid w:val="00AD122D"/>
    <w:rsid w:val="00AD1FF3"/>
    <w:rsid w:val="00AF2F44"/>
    <w:rsid w:val="00AF692D"/>
    <w:rsid w:val="00B03680"/>
    <w:rsid w:val="00B131CE"/>
    <w:rsid w:val="00B17961"/>
    <w:rsid w:val="00B31342"/>
    <w:rsid w:val="00B31DB4"/>
    <w:rsid w:val="00B678B4"/>
    <w:rsid w:val="00B710A2"/>
    <w:rsid w:val="00B87B72"/>
    <w:rsid w:val="00BB1B9D"/>
    <w:rsid w:val="00BD2F62"/>
    <w:rsid w:val="00BE18CA"/>
    <w:rsid w:val="00BE521A"/>
    <w:rsid w:val="00BF27C5"/>
    <w:rsid w:val="00C17E4C"/>
    <w:rsid w:val="00C22900"/>
    <w:rsid w:val="00C37A6C"/>
    <w:rsid w:val="00C409A9"/>
    <w:rsid w:val="00C47507"/>
    <w:rsid w:val="00C63F16"/>
    <w:rsid w:val="00C75152"/>
    <w:rsid w:val="00C80FA5"/>
    <w:rsid w:val="00C82EC8"/>
    <w:rsid w:val="00C928F7"/>
    <w:rsid w:val="00C931F2"/>
    <w:rsid w:val="00CA0467"/>
    <w:rsid w:val="00CA7D10"/>
    <w:rsid w:val="00CB1E92"/>
    <w:rsid w:val="00CB2E86"/>
    <w:rsid w:val="00CB6721"/>
    <w:rsid w:val="00CC61D1"/>
    <w:rsid w:val="00CC6BFF"/>
    <w:rsid w:val="00CE5896"/>
    <w:rsid w:val="00CE6EB5"/>
    <w:rsid w:val="00CF61BC"/>
    <w:rsid w:val="00D073F2"/>
    <w:rsid w:val="00D23989"/>
    <w:rsid w:val="00D26246"/>
    <w:rsid w:val="00D46EA0"/>
    <w:rsid w:val="00D636DB"/>
    <w:rsid w:val="00D70CB5"/>
    <w:rsid w:val="00D7240D"/>
    <w:rsid w:val="00D952DC"/>
    <w:rsid w:val="00DB56F7"/>
    <w:rsid w:val="00DC18B0"/>
    <w:rsid w:val="00DC1C41"/>
    <w:rsid w:val="00DC660B"/>
    <w:rsid w:val="00DD4F8E"/>
    <w:rsid w:val="00DE179D"/>
    <w:rsid w:val="00DF0BAF"/>
    <w:rsid w:val="00E06442"/>
    <w:rsid w:val="00E07CE4"/>
    <w:rsid w:val="00E12807"/>
    <w:rsid w:val="00E14019"/>
    <w:rsid w:val="00E16379"/>
    <w:rsid w:val="00E246C9"/>
    <w:rsid w:val="00E33873"/>
    <w:rsid w:val="00E40360"/>
    <w:rsid w:val="00E407B5"/>
    <w:rsid w:val="00E44E20"/>
    <w:rsid w:val="00E453DB"/>
    <w:rsid w:val="00E72497"/>
    <w:rsid w:val="00E725FA"/>
    <w:rsid w:val="00E82EEF"/>
    <w:rsid w:val="00E87F60"/>
    <w:rsid w:val="00E94995"/>
    <w:rsid w:val="00EA400A"/>
    <w:rsid w:val="00EE67A3"/>
    <w:rsid w:val="00EE7AA2"/>
    <w:rsid w:val="00EF0BF2"/>
    <w:rsid w:val="00EF10B0"/>
    <w:rsid w:val="00EF7459"/>
    <w:rsid w:val="00F07D9B"/>
    <w:rsid w:val="00F4716C"/>
    <w:rsid w:val="00F510DD"/>
    <w:rsid w:val="00F51930"/>
    <w:rsid w:val="00F52AAA"/>
    <w:rsid w:val="00F539E6"/>
    <w:rsid w:val="00F6078F"/>
    <w:rsid w:val="00F70409"/>
    <w:rsid w:val="00F819A9"/>
    <w:rsid w:val="00F92101"/>
    <w:rsid w:val="00FA0A05"/>
    <w:rsid w:val="00FA49D4"/>
    <w:rsid w:val="00FA6105"/>
    <w:rsid w:val="00FB5CC4"/>
    <w:rsid w:val="00FD54B0"/>
    <w:rsid w:val="00FF3ED9"/>
    <w:rsid w:val="00FF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6A5D"/>
  <w15:docId w15:val="{3F8E2F03-79CE-4720-8AD3-E821301F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2,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1C13FB"/>
    <w:pPr>
      <w:ind w:left="720"/>
      <w:contextualSpacing/>
    </w:pPr>
  </w:style>
  <w:style w:type="character" w:customStyle="1" w:styleId="StyleArial11pt">
    <w:name w:val="Style Arial 11 pt"/>
    <w:rsid w:val="00565ED5"/>
    <w:rPr>
      <w:rFonts w:ascii="Arial" w:hAnsi="Arial"/>
      <w:sz w:val="22"/>
    </w:rPr>
  </w:style>
  <w:style w:type="character" w:customStyle="1" w:styleId="ListParagraphChar">
    <w:name w:val="List Paragraph Char"/>
    <w:aliases w:val="List Bullet2 Char,Dot pt Char,No Spacing1 Char,List Paragraph Char Char Char Char,Indicator Text Char,Numbered Para 1 Char,Bullet 1 Char,F5 List Paragraph Char,Bullet Points Char,MAIN CONTENT Char,List Paragraph12 Char"/>
    <w:basedOn w:val="DefaultParagraphFont"/>
    <w:link w:val="ListParagraph"/>
    <w:uiPriority w:val="34"/>
    <w:qFormat/>
    <w:rsid w:val="00565ED5"/>
  </w:style>
  <w:style w:type="paragraph" w:styleId="BalloonText">
    <w:name w:val="Balloon Text"/>
    <w:basedOn w:val="Normal"/>
    <w:link w:val="BalloonTextChar"/>
    <w:uiPriority w:val="99"/>
    <w:semiHidden/>
    <w:unhideWhenUsed/>
    <w:rsid w:val="008F2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49"/>
    <w:rPr>
      <w:rFonts w:ascii="Tahoma" w:hAnsi="Tahoma" w:cs="Tahoma"/>
      <w:sz w:val="16"/>
      <w:szCs w:val="16"/>
    </w:rPr>
  </w:style>
  <w:style w:type="paragraph" w:styleId="NoSpacing">
    <w:name w:val="No Spacing"/>
    <w:uiPriority w:val="1"/>
    <w:qFormat/>
    <w:rsid w:val="0015172A"/>
    <w:pPr>
      <w:spacing w:after="0" w:line="240" w:lineRule="auto"/>
    </w:pPr>
  </w:style>
  <w:style w:type="paragraph" w:styleId="FootnoteText">
    <w:name w:val="footnote text"/>
    <w:basedOn w:val="Normal"/>
    <w:link w:val="FootnoteTextChar"/>
    <w:uiPriority w:val="99"/>
    <w:semiHidden/>
    <w:unhideWhenUsed/>
    <w:rsid w:val="0015172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5172A"/>
    <w:rPr>
      <w:rFonts w:ascii="Arial" w:hAnsi="Arial"/>
      <w:sz w:val="20"/>
      <w:szCs w:val="20"/>
    </w:rPr>
  </w:style>
  <w:style w:type="character" w:styleId="FootnoteReference">
    <w:name w:val="footnote reference"/>
    <w:basedOn w:val="DefaultParagraphFont"/>
    <w:uiPriority w:val="99"/>
    <w:semiHidden/>
    <w:unhideWhenUsed/>
    <w:rsid w:val="0015172A"/>
    <w:rPr>
      <w:vertAlign w:val="superscript"/>
    </w:rPr>
  </w:style>
  <w:style w:type="paragraph" w:styleId="Header">
    <w:name w:val="header"/>
    <w:basedOn w:val="Normal"/>
    <w:link w:val="HeaderChar"/>
    <w:uiPriority w:val="99"/>
    <w:unhideWhenUsed/>
    <w:rsid w:val="0064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94C"/>
  </w:style>
  <w:style w:type="paragraph" w:styleId="Footer">
    <w:name w:val="footer"/>
    <w:basedOn w:val="Normal"/>
    <w:link w:val="FooterChar"/>
    <w:uiPriority w:val="99"/>
    <w:unhideWhenUsed/>
    <w:rsid w:val="0064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4C"/>
  </w:style>
  <w:style w:type="table" w:styleId="TableGrid">
    <w:name w:val="Table Grid"/>
    <w:basedOn w:val="TableNormal"/>
    <w:uiPriority w:val="59"/>
    <w:rsid w:val="00A0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06A"/>
    <w:rPr>
      <w:sz w:val="16"/>
      <w:szCs w:val="16"/>
    </w:rPr>
  </w:style>
  <w:style w:type="paragraph" w:styleId="CommentText">
    <w:name w:val="annotation text"/>
    <w:basedOn w:val="Normal"/>
    <w:link w:val="CommentTextChar"/>
    <w:uiPriority w:val="99"/>
    <w:semiHidden/>
    <w:unhideWhenUsed/>
    <w:rsid w:val="0079406A"/>
    <w:pPr>
      <w:spacing w:line="240" w:lineRule="auto"/>
    </w:pPr>
    <w:rPr>
      <w:sz w:val="20"/>
      <w:szCs w:val="20"/>
    </w:rPr>
  </w:style>
  <w:style w:type="character" w:customStyle="1" w:styleId="CommentTextChar">
    <w:name w:val="Comment Text Char"/>
    <w:basedOn w:val="DefaultParagraphFont"/>
    <w:link w:val="CommentText"/>
    <w:uiPriority w:val="99"/>
    <w:semiHidden/>
    <w:rsid w:val="0079406A"/>
    <w:rPr>
      <w:sz w:val="20"/>
      <w:szCs w:val="20"/>
    </w:rPr>
  </w:style>
  <w:style w:type="paragraph" w:styleId="CommentSubject">
    <w:name w:val="annotation subject"/>
    <w:basedOn w:val="CommentText"/>
    <w:next w:val="CommentText"/>
    <w:link w:val="CommentSubjectChar"/>
    <w:uiPriority w:val="99"/>
    <w:semiHidden/>
    <w:unhideWhenUsed/>
    <w:rsid w:val="00E06442"/>
    <w:rPr>
      <w:b/>
      <w:bCs/>
    </w:rPr>
  </w:style>
  <w:style w:type="character" w:customStyle="1" w:styleId="CommentSubjectChar">
    <w:name w:val="Comment Subject Char"/>
    <w:basedOn w:val="CommentTextChar"/>
    <w:link w:val="CommentSubject"/>
    <w:uiPriority w:val="99"/>
    <w:semiHidden/>
    <w:rsid w:val="00E06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51017">
      <w:bodyDiv w:val="1"/>
      <w:marLeft w:val="0"/>
      <w:marRight w:val="0"/>
      <w:marTop w:val="0"/>
      <w:marBottom w:val="0"/>
      <w:divBdr>
        <w:top w:val="none" w:sz="0" w:space="0" w:color="auto"/>
        <w:left w:val="none" w:sz="0" w:space="0" w:color="auto"/>
        <w:bottom w:val="none" w:sz="0" w:space="0" w:color="auto"/>
        <w:right w:val="none" w:sz="0" w:space="0" w:color="auto"/>
      </w:divBdr>
    </w:div>
    <w:div w:id="864640717">
      <w:bodyDiv w:val="1"/>
      <w:marLeft w:val="0"/>
      <w:marRight w:val="0"/>
      <w:marTop w:val="0"/>
      <w:marBottom w:val="0"/>
      <w:divBdr>
        <w:top w:val="none" w:sz="0" w:space="0" w:color="auto"/>
        <w:left w:val="none" w:sz="0" w:space="0" w:color="auto"/>
        <w:bottom w:val="none" w:sz="0" w:space="0" w:color="auto"/>
        <w:right w:val="none" w:sz="0" w:space="0" w:color="auto"/>
      </w:divBdr>
    </w:div>
    <w:div w:id="927933153">
      <w:bodyDiv w:val="1"/>
      <w:marLeft w:val="0"/>
      <w:marRight w:val="0"/>
      <w:marTop w:val="0"/>
      <w:marBottom w:val="0"/>
      <w:divBdr>
        <w:top w:val="none" w:sz="0" w:space="0" w:color="auto"/>
        <w:left w:val="none" w:sz="0" w:space="0" w:color="auto"/>
        <w:bottom w:val="none" w:sz="0" w:space="0" w:color="auto"/>
        <w:right w:val="none" w:sz="0" w:space="0" w:color="auto"/>
      </w:divBdr>
    </w:div>
    <w:div w:id="1117607103">
      <w:bodyDiv w:val="1"/>
      <w:marLeft w:val="0"/>
      <w:marRight w:val="0"/>
      <w:marTop w:val="0"/>
      <w:marBottom w:val="0"/>
      <w:divBdr>
        <w:top w:val="none" w:sz="0" w:space="0" w:color="auto"/>
        <w:left w:val="none" w:sz="0" w:space="0" w:color="auto"/>
        <w:bottom w:val="none" w:sz="0" w:space="0" w:color="auto"/>
        <w:right w:val="none" w:sz="0" w:space="0" w:color="auto"/>
      </w:divBdr>
      <w:divsChild>
        <w:div w:id="1594195365">
          <w:marLeft w:val="1166"/>
          <w:marRight w:val="0"/>
          <w:marTop w:val="288"/>
          <w:marBottom w:val="0"/>
          <w:divBdr>
            <w:top w:val="none" w:sz="0" w:space="0" w:color="auto"/>
            <w:left w:val="none" w:sz="0" w:space="0" w:color="auto"/>
            <w:bottom w:val="none" w:sz="0" w:space="0" w:color="auto"/>
            <w:right w:val="none" w:sz="0" w:space="0" w:color="auto"/>
          </w:divBdr>
        </w:div>
        <w:div w:id="11416041">
          <w:marLeft w:val="1166"/>
          <w:marRight w:val="0"/>
          <w:marTop w:val="288"/>
          <w:marBottom w:val="0"/>
          <w:divBdr>
            <w:top w:val="none" w:sz="0" w:space="0" w:color="auto"/>
            <w:left w:val="none" w:sz="0" w:space="0" w:color="auto"/>
            <w:bottom w:val="none" w:sz="0" w:space="0" w:color="auto"/>
            <w:right w:val="none" w:sz="0" w:space="0" w:color="auto"/>
          </w:divBdr>
        </w:div>
        <w:div w:id="56511525">
          <w:marLeft w:val="1166"/>
          <w:marRight w:val="0"/>
          <w:marTop w:val="288"/>
          <w:marBottom w:val="0"/>
          <w:divBdr>
            <w:top w:val="none" w:sz="0" w:space="0" w:color="auto"/>
            <w:left w:val="none" w:sz="0" w:space="0" w:color="auto"/>
            <w:bottom w:val="none" w:sz="0" w:space="0" w:color="auto"/>
            <w:right w:val="none" w:sz="0" w:space="0" w:color="auto"/>
          </w:divBdr>
        </w:div>
      </w:divsChild>
    </w:div>
    <w:div w:id="1864705610">
      <w:bodyDiv w:val="1"/>
      <w:marLeft w:val="0"/>
      <w:marRight w:val="0"/>
      <w:marTop w:val="0"/>
      <w:marBottom w:val="0"/>
      <w:divBdr>
        <w:top w:val="none" w:sz="0" w:space="0" w:color="auto"/>
        <w:left w:val="none" w:sz="0" w:space="0" w:color="auto"/>
        <w:bottom w:val="none" w:sz="0" w:space="0" w:color="auto"/>
        <w:right w:val="none" w:sz="0" w:space="0" w:color="auto"/>
      </w:divBdr>
    </w:div>
    <w:div w:id="21033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AE47-F7FD-4DC1-8679-3166A9E1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6223</Words>
  <Characters>35474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Harrison, Ian J (Education and Skills Director)</cp:lastModifiedBy>
  <cp:revision>2</cp:revision>
  <cp:lastPrinted>2017-01-26T18:26:00Z</cp:lastPrinted>
  <dcterms:created xsi:type="dcterms:W3CDTF">2019-11-08T09:57:00Z</dcterms:created>
  <dcterms:modified xsi:type="dcterms:W3CDTF">2019-11-08T09:57:00Z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2063712155</vt:i4>
  </property>
  <property fmtid="{D5CDD505-2E9C-101B-9397-08002B2CF9AE}" pid="4" name="_EmailSubject">
    <vt:lpwstr>updated agenda and first batch of papers for the Strategic Partnership Board meeting next Weds 13th March</vt:lpwstr>
  </property>
  <property fmtid="{D5CDD505-2E9C-101B-9397-08002B2CF9AE}" pid="5" name="_AuthorEmail">
    <vt:lpwstr>Ian.Harrison@Barnet.gov.uk</vt:lpwstr>
  </property>
  <property fmtid="{D5CDD505-2E9C-101B-9397-08002B2CF9AE}" pid="6" name="_AuthorEmailDisplayName">
    <vt:lpwstr>Harrison, Ian J (Education and Skills Director)</vt:lpwstr>
  </property>
  <property fmtid="{D5CDD505-2E9C-101B-9397-08002B2CF9AE}" pid="7" name="_PreviousAdHocReviewCycleID">
    <vt:i4>121664037</vt:i4>
  </property>
  <property fmtid="{D5CDD505-2E9C-101B-9397-08002B2CF9AE}" pid="8" name="_ReviewingToolsShownOnce">
    <vt:lpwstr/>
  </property>
</Properties>
</file>